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A47CC" w14:textId="5F0526E4" w:rsidR="0012388D" w:rsidRDefault="00772BDC" w:rsidP="00CA5734">
      <w:pPr>
        <w:rPr>
          <w:rFonts w:cs="Arial"/>
        </w:rPr>
      </w:pPr>
      <w:r>
        <w:rPr>
          <w:rFonts w:cs="Arial"/>
          <w:noProof/>
          <w:lang w:eastAsia="en-GB" w:bidi="ar-SA"/>
        </w:rPr>
        <w:drawing>
          <wp:inline distT="0" distB="0" distL="0" distR="0" wp14:anchorId="4F0161CA" wp14:editId="0311569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B715598" w14:textId="77777777" w:rsidR="00A671E6" w:rsidRPr="00F13FC6" w:rsidRDefault="00A671E6" w:rsidP="00A671E6"/>
    <w:p w14:paraId="22ABB38F" w14:textId="70E4F328" w:rsidR="008E5B4A" w:rsidRPr="000443FF" w:rsidRDefault="000443FF" w:rsidP="008E5B4A">
      <w:pPr>
        <w:rPr>
          <w:b/>
          <w:sz w:val="28"/>
          <w:szCs w:val="28"/>
        </w:rPr>
      </w:pPr>
      <w:r w:rsidRPr="000443FF">
        <w:rPr>
          <w:b/>
          <w:sz w:val="28"/>
          <w:szCs w:val="28"/>
        </w:rPr>
        <w:t xml:space="preserve">22 February </w:t>
      </w:r>
      <w:r w:rsidR="008E5B4A" w:rsidRPr="000443FF">
        <w:rPr>
          <w:b/>
          <w:sz w:val="28"/>
          <w:szCs w:val="28"/>
        </w:rPr>
        <w:t>2018</w:t>
      </w:r>
    </w:p>
    <w:p w14:paraId="141645F3" w14:textId="2907B6C1" w:rsidR="00A671E6" w:rsidRPr="000443FF" w:rsidRDefault="000443FF" w:rsidP="008E5B4A">
      <w:pPr>
        <w:rPr>
          <w:b/>
          <w:sz w:val="28"/>
          <w:szCs w:val="28"/>
        </w:rPr>
      </w:pPr>
      <w:r w:rsidRPr="000443FF">
        <w:rPr>
          <w:b/>
          <w:sz w:val="28"/>
          <w:szCs w:val="28"/>
        </w:rPr>
        <w:t>[39-18</w:t>
      </w:r>
      <w:r w:rsidR="00A671E6" w:rsidRPr="000443FF">
        <w:rPr>
          <w:b/>
          <w:sz w:val="28"/>
          <w:szCs w:val="28"/>
        </w:rPr>
        <w:t>]</w:t>
      </w:r>
    </w:p>
    <w:p w14:paraId="35864947" w14:textId="77777777" w:rsidR="00A671E6" w:rsidRPr="00450DEC" w:rsidRDefault="00A671E6" w:rsidP="00A671E6"/>
    <w:p w14:paraId="7BB60600" w14:textId="4F9997C7" w:rsidR="0012388D" w:rsidRPr="00450DEC" w:rsidRDefault="00B425AA" w:rsidP="00B425AA">
      <w:pPr>
        <w:pStyle w:val="FSTitle"/>
      </w:pPr>
      <w:r w:rsidRPr="00450DEC">
        <w:t>A</w:t>
      </w:r>
      <w:r w:rsidR="00DD265C" w:rsidRPr="00450DEC">
        <w:t>pproval</w:t>
      </w:r>
      <w:r w:rsidRPr="00450DEC">
        <w:t xml:space="preserve"> </w:t>
      </w:r>
      <w:r w:rsidR="00B77C18" w:rsidRPr="00450DEC">
        <w:t>r</w:t>
      </w:r>
      <w:r w:rsidR="00DD265C" w:rsidRPr="00450DEC">
        <w:t>eport</w:t>
      </w:r>
      <w:r w:rsidRPr="00450DEC">
        <w:t xml:space="preserve"> – </w:t>
      </w:r>
      <w:r w:rsidR="00EB6590" w:rsidRPr="00450DEC">
        <w:t>A</w:t>
      </w:r>
      <w:r w:rsidR="00DD265C" w:rsidRPr="00450DEC">
        <w:t>pplication</w:t>
      </w:r>
      <w:r w:rsidR="00CA5734" w:rsidRPr="00450DEC">
        <w:t xml:space="preserve"> </w:t>
      </w:r>
      <w:r w:rsidR="00677A7A" w:rsidRPr="00450DEC">
        <w:t>A1136</w:t>
      </w:r>
    </w:p>
    <w:p w14:paraId="11112CB5" w14:textId="77777777" w:rsidR="003A7B84" w:rsidRPr="00450DEC" w:rsidRDefault="003A7B84" w:rsidP="00A671E6"/>
    <w:p w14:paraId="4ABCD1C2" w14:textId="28842A16" w:rsidR="003A7B84" w:rsidRPr="00450DEC" w:rsidRDefault="00677A7A" w:rsidP="00871116">
      <w:pPr>
        <w:pBdr>
          <w:bottom w:val="single" w:sz="12" w:space="1" w:color="auto"/>
        </w:pBdr>
        <w:tabs>
          <w:tab w:val="left" w:pos="1140"/>
        </w:tabs>
        <w:rPr>
          <w:rFonts w:cs="Tahoma"/>
          <w:bCs/>
          <w:sz w:val="32"/>
        </w:rPr>
      </w:pPr>
      <w:r w:rsidRPr="00450DEC">
        <w:rPr>
          <w:rFonts w:cs="Tahoma"/>
          <w:bCs/>
          <w:sz w:val="32"/>
        </w:rPr>
        <w:t>Protein Glutaminase as a Processing Aid (Enzyme)</w:t>
      </w:r>
    </w:p>
    <w:p w14:paraId="714F4656" w14:textId="77777777" w:rsidR="00677A7A" w:rsidRPr="00450DEC" w:rsidRDefault="00677A7A" w:rsidP="00871116">
      <w:pPr>
        <w:pBdr>
          <w:bottom w:val="single" w:sz="12" w:space="1" w:color="auto"/>
        </w:pBdr>
        <w:tabs>
          <w:tab w:val="left" w:pos="1140"/>
        </w:tabs>
        <w:rPr>
          <w:rFonts w:cs="Arial"/>
          <w:bCs/>
        </w:rPr>
      </w:pPr>
    </w:p>
    <w:p w14:paraId="48C7E873" w14:textId="77777777" w:rsidR="003A7B84" w:rsidRPr="00450DEC" w:rsidRDefault="003A7B84" w:rsidP="003A7B84"/>
    <w:p w14:paraId="382D6FF9" w14:textId="6496DAB1" w:rsidR="00EB6590" w:rsidRPr="00450DEC" w:rsidRDefault="000F3CFE" w:rsidP="00CA5734">
      <w:r w:rsidRPr="00450DEC">
        <w:t>Food Standards Australia New Zealand (FSANZ) has</w:t>
      </w:r>
      <w:r w:rsidR="00081B0A" w:rsidRPr="00450DEC">
        <w:t xml:space="preserve"> assessed an application</w:t>
      </w:r>
      <w:r w:rsidR="00CA5734" w:rsidRPr="00450DEC">
        <w:t xml:space="preserve"> </w:t>
      </w:r>
      <w:r w:rsidR="00081B0A" w:rsidRPr="00450DEC">
        <w:t xml:space="preserve">made by </w:t>
      </w:r>
      <w:r w:rsidR="00677A7A" w:rsidRPr="00450DEC">
        <w:t>Amano Enzyme Inc.</w:t>
      </w:r>
      <w:r w:rsidR="003A7B84" w:rsidRPr="00450DEC">
        <w:t xml:space="preserve"> </w:t>
      </w:r>
      <w:r w:rsidR="00CA5734" w:rsidRPr="00450DEC">
        <w:t>to</w:t>
      </w:r>
      <w:r w:rsidR="00677A7A" w:rsidRPr="00450DEC">
        <w:t xml:space="preserve"> permit the use of protein-glutaminase from </w:t>
      </w:r>
      <w:r w:rsidR="00DD764F" w:rsidRPr="00DD764F">
        <w:rPr>
          <w:i/>
        </w:rPr>
        <w:t>Chryseobacterium</w:t>
      </w:r>
      <w:r w:rsidR="00C77D84">
        <w:rPr>
          <w:i/>
        </w:rPr>
        <w:t xml:space="preserve"> proteolyticum </w:t>
      </w:r>
      <w:r w:rsidR="00DD764F">
        <w:t xml:space="preserve">strain </w:t>
      </w:r>
      <w:r w:rsidR="00EE3921">
        <w:t>AE-</w:t>
      </w:r>
      <w:r w:rsidR="00677A7A" w:rsidRPr="00450DEC">
        <w:t xml:space="preserve">PG as a processing aid to </w:t>
      </w:r>
      <w:r w:rsidR="00743123">
        <w:t>enhance</w:t>
      </w:r>
      <w:r w:rsidR="00743123" w:rsidRPr="00450DEC">
        <w:t xml:space="preserve"> </w:t>
      </w:r>
      <w:r w:rsidR="00677A7A" w:rsidRPr="00450DEC">
        <w:t xml:space="preserve">protein </w:t>
      </w:r>
      <w:r w:rsidR="00743123">
        <w:t>solubility</w:t>
      </w:r>
      <w:r w:rsidR="00743123" w:rsidRPr="00450DEC">
        <w:t xml:space="preserve"> </w:t>
      </w:r>
      <w:r w:rsidR="00677A7A" w:rsidRPr="00450DEC">
        <w:t xml:space="preserve">in </w:t>
      </w:r>
      <w:r w:rsidR="00A33269">
        <w:t xml:space="preserve">various </w:t>
      </w:r>
      <w:r w:rsidR="00921D5D">
        <w:t>product</w:t>
      </w:r>
      <w:r w:rsidR="00677A7A" w:rsidRPr="00450DEC">
        <w:t>s.</w:t>
      </w:r>
    </w:p>
    <w:p w14:paraId="422D8863" w14:textId="77777777" w:rsidR="00CA5734" w:rsidRPr="00450DEC" w:rsidRDefault="00CA5734" w:rsidP="00CA5734"/>
    <w:p w14:paraId="67D60B24" w14:textId="5F0EB618" w:rsidR="00081B0A" w:rsidRPr="00450DEC" w:rsidRDefault="00081B0A" w:rsidP="00CA5734">
      <w:r w:rsidRPr="00450DEC">
        <w:t xml:space="preserve">On </w:t>
      </w:r>
      <w:r w:rsidR="00677A7A" w:rsidRPr="00450DEC">
        <w:t>21 September 2017</w:t>
      </w:r>
      <w:r w:rsidR="003A7B84" w:rsidRPr="00450DEC">
        <w:t>,</w:t>
      </w:r>
      <w:r w:rsidRPr="00450DEC">
        <w:t xml:space="preserve"> FSANZ sought </w:t>
      </w:r>
      <w:r w:rsidR="003A7B84" w:rsidRPr="00450DEC">
        <w:t xml:space="preserve">submissions </w:t>
      </w:r>
      <w:r w:rsidR="00A671E6" w:rsidRPr="00450DEC">
        <w:t xml:space="preserve">on </w:t>
      </w:r>
      <w:r w:rsidR="00F526BD" w:rsidRPr="00450DEC">
        <w:t xml:space="preserve">a draft </w:t>
      </w:r>
      <w:r w:rsidR="00E30092" w:rsidRPr="00450DEC">
        <w:t xml:space="preserve">variation </w:t>
      </w:r>
      <w:r w:rsidR="003A7B84" w:rsidRPr="00450DEC">
        <w:t xml:space="preserve">and published an </w:t>
      </w:r>
      <w:r w:rsidR="00EC21DF" w:rsidRPr="00450DEC">
        <w:t>associated r</w:t>
      </w:r>
      <w:r w:rsidR="003A7B84" w:rsidRPr="00450DEC">
        <w:t>eport</w:t>
      </w:r>
      <w:r w:rsidRPr="00450DEC">
        <w:t>.</w:t>
      </w:r>
      <w:r w:rsidR="00F526BD" w:rsidRPr="00450DEC">
        <w:t xml:space="preserve"> FSANZ received </w:t>
      </w:r>
      <w:r w:rsidR="00DD764F">
        <w:t xml:space="preserve">seven </w:t>
      </w:r>
      <w:r w:rsidR="00F526BD" w:rsidRPr="00450DEC">
        <w:t>submissions.</w:t>
      </w:r>
    </w:p>
    <w:p w14:paraId="1976415E" w14:textId="77777777" w:rsidR="00CA5734" w:rsidRPr="00450DEC" w:rsidRDefault="00CA5734" w:rsidP="00CA5734"/>
    <w:p w14:paraId="68B66C17" w14:textId="1B4FD289" w:rsidR="00081B0A" w:rsidRPr="000443FF" w:rsidRDefault="00081B0A" w:rsidP="00CA5734">
      <w:r w:rsidRPr="00450DEC">
        <w:t xml:space="preserve">FSANZ approved the draft </w:t>
      </w:r>
      <w:r w:rsidR="00677A7A" w:rsidRPr="00450DEC">
        <w:t>variation</w:t>
      </w:r>
      <w:r w:rsidR="003A7B84" w:rsidRPr="00450DEC">
        <w:t xml:space="preserve"> </w:t>
      </w:r>
      <w:r w:rsidR="0012388D" w:rsidRPr="000443FF">
        <w:t xml:space="preserve">on </w:t>
      </w:r>
      <w:r w:rsidR="000443FF" w:rsidRPr="000443FF">
        <w:t>7 February 2018</w:t>
      </w:r>
      <w:r w:rsidRPr="000443FF">
        <w:t xml:space="preserve">. </w:t>
      </w:r>
      <w:r w:rsidR="003A7B84" w:rsidRPr="000443FF">
        <w:t xml:space="preserve">The </w:t>
      </w:r>
      <w:r w:rsidR="00011187" w:rsidRPr="000443FF">
        <w:rPr>
          <w:rFonts w:cs="Helvetica"/>
          <w:lang w:val="en-AU"/>
        </w:rPr>
        <w:t xml:space="preserve">Australia and New Zealand Ministerial Forum on Food </w:t>
      </w:r>
      <w:r w:rsidR="00011187" w:rsidRPr="000443FF">
        <w:rPr>
          <w:rFonts w:cs="Arial"/>
        </w:rPr>
        <w:t>Regulation</w:t>
      </w:r>
      <w:r w:rsidR="003A7B84" w:rsidRPr="000443FF">
        <w:t xml:space="preserve"> was notified of FSANZ’s decision on </w:t>
      </w:r>
      <w:r w:rsidR="000443FF" w:rsidRPr="000443FF">
        <w:t>20 February 2018.</w:t>
      </w:r>
    </w:p>
    <w:p w14:paraId="395DB05B" w14:textId="77777777" w:rsidR="00CA5734" w:rsidRPr="000443FF" w:rsidRDefault="00CA5734" w:rsidP="00CA5734"/>
    <w:p w14:paraId="5A437284" w14:textId="0D407AFA" w:rsidR="00081B0A" w:rsidRPr="00450DEC" w:rsidRDefault="003A7B84" w:rsidP="00292B9B">
      <w:r w:rsidRPr="00450DEC">
        <w:t>This R</w:t>
      </w:r>
      <w:r w:rsidR="00B425AA" w:rsidRPr="00450DEC">
        <w:t xml:space="preserve">eport is provided pursuant to </w:t>
      </w:r>
      <w:r w:rsidR="009A2699" w:rsidRPr="00450DEC">
        <w:t>paragraph</w:t>
      </w:r>
      <w:r w:rsidR="00081B0A" w:rsidRPr="00450DEC">
        <w:t xml:space="preserve"> 33(1)(b) of the </w:t>
      </w:r>
      <w:r w:rsidR="00081B0A" w:rsidRPr="00450DEC">
        <w:rPr>
          <w:i/>
        </w:rPr>
        <w:t>Food Standards Australia New Zealand Act 1991</w:t>
      </w:r>
      <w:r w:rsidR="00081B0A" w:rsidRPr="00450DEC">
        <w:t xml:space="preserve"> (the FSANZ Act).</w:t>
      </w:r>
    </w:p>
    <w:p w14:paraId="7D6D6334" w14:textId="04ED6170" w:rsidR="00F526BD" w:rsidRDefault="00F526BD" w:rsidP="00A671E6"/>
    <w:p w14:paraId="188C25C8" w14:textId="6A6299E6" w:rsidR="00B222FA" w:rsidRDefault="00B222FA" w:rsidP="00CC5468">
      <w:r>
        <w:br w:type="page"/>
      </w:r>
      <w:bookmarkStart w:id="0" w:name="_GoBack"/>
      <w:bookmarkEnd w:id="0"/>
    </w:p>
    <w:p w14:paraId="030FD926" w14:textId="262E2888" w:rsidR="0012388D" w:rsidRPr="007B6EDC" w:rsidRDefault="00D15A08" w:rsidP="00EC66BB">
      <w:pPr>
        <w:jc w:val="center"/>
        <w:rPr>
          <w:sz w:val="32"/>
          <w:szCs w:val="32"/>
        </w:rPr>
      </w:pPr>
      <w:r w:rsidRPr="007B6EDC">
        <w:rPr>
          <w:sz w:val="32"/>
          <w:szCs w:val="32"/>
        </w:rPr>
        <w:lastRenderedPageBreak/>
        <w:t xml:space="preserve">Table of </w:t>
      </w:r>
      <w:r w:rsidR="00B63BBA" w:rsidRPr="007B6EDC">
        <w:rPr>
          <w:sz w:val="32"/>
          <w:szCs w:val="32"/>
        </w:rPr>
        <w:t>c</w:t>
      </w:r>
      <w:r w:rsidRPr="007B6EDC">
        <w:rPr>
          <w:sz w:val="32"/>
          <w:szCs w:val="32"/>
        </w:rPr>
        <w:t>ontents</w:t>
      </w:r>
    </w:p>
    <w:p w14:paraId="120A47EC" w14:textId="77777777" w:rsidR="00CE59AA" w:rsidRPr="00346622" w:rsidRDefault="00CE59AA" w:rsidP="00CE59AA">
      <w:pPr>
        <w:rPr>
          <w:rFonts w:cs="Arial"/>
          <w:sz w:val="20"/>
          <w:szCs w:val="20"/>
        </w:rPr>
      </w:pPr>
    </w:p>
    <w:p w14:paraId="178E9481" w14:textId="7280B4BB" w:rsidR="00266197" w:rsidRDefault="00B55714">
      <w:pPr>
        <w:pStyle w:val="TOC1"/>
        <w:tabs>
          <w:tab w:val="right" w:leader="dot" w:pos="9060"/>
        </w:tabs>
        <w:rPr>
          <w:rFonts w:eastAsiaTheme="minorEastAsia" w:cstheme="minorBidi"/>
          <w:b w:val="0"/>
          <w:bCs w:val="0"/>
          <w:caps w:val="0"/>
          <w:noProof/>
          <w:sz w:val="22"/>
          <w:szCs w:val="22"/>
          <w:lang w:val="en-NZ" w:eastAsia="en-NZ" w:bidi="ar-SA"/>
        </w:rPr>
      </w:pPr>
      <w:r w:rsidRPr="00240EA1">
        <w:rPr>
          <w:rFonts w:ascii="Arial" w:hAnsi="Arial" w:cs="Arial"/>
          <w:b w:val="0"/>
          <w:bCs w:val="0"/>
          <w:caps w:val="0"/>
          <w:smallCaps/>
          <w:sz w:val="22"/>
          <w:szCs w:val="22"/>
        </w:rPr>
        <w:fldChar w:fldCharType="begin"/>
      </w:r>
      <w:r w:rsidRPr="00240EA1">
        <w:rPr>
          <w:rFonts w:ascii="Arial" w:hAnsi="Arial" w:cs="Arial"/>
          <w:sz w:val="22"/>
          <w:szCs w:val="22"/>
        </w:rPr>
        <w:instrText xml:space="preserve"> TOC \h \z \t "Heading 1,1,Heading 2,2,Heading 3,3" </w:instrText>
      </w:r>
      <w:r w:rsidRPr="00240EA1">
        <w:rPr>
          <w:rFonts w:ascii="Arial" w:hAnsi="Arial" w:cs="Arial"/>
          <w:b w:val="0"/>
          <w:bCs w:val="0"/>
          <w:caps w:val="0"/>
          <w:smallCaps/>
          <w:sz w:val="22"/>
          <w:szCs w:val="22"/>
        </w:rPr>
        <w:fldChar w:fldCharType="separate"/>
      </w:r>
      <w:hyperlink w:anchor="_Toc506902849" w:history="1">
        <w:r w:rsidR="00266197" w:rsidRPr="00127692">
          <w:rPr>
            <w:rStyle w:val="Hyperlink"/>
            <w:noProof/>
          </w:rPr>
          <w:t>Executive summary</w:t>
        </w:r>
        <w:r w:rsidR="00266197">
          <w:rPr>
            <w:noProof/>
            <w:webHidden/>
          </w:rPr>
          <w:tab/>
        </w:r>
        <w:r w:rsidR="00266197">
          <w:rPr>
            <w:noProof/>
            <w:webHidden/>
          </w:rPr>
          <w:fldChar w:fldCharType="begin"/>
        </w:r>
        <w:r w:rsidR="00266197">
          <w:rPr>
            <w:noProof/>
            <w:webHidden/>
          </w:rPr>
          <w:instrText xml:space="preserve"> PAGEREF _Toc506902849 \h </w:instrText>
        </w:r>
        <w:r w:rsidR="00266197">
          <w:rPr>
            <w:noProof/>
            <w:webHidden/>
          </w:rPr>
        </w:r>
        <w:r w:rsidR="00266197">
          <w:rPr>
            <w:noProof/>
            <w:webHidden/>
          </w:rPr>
          <w:fldChar w:fldCharType="separate"/>
        </w:r>
        <w:r w:rsidR="00266197">
          <w:rPr>
            <w:noProof/>
            <w:webHidden/>
          </w:rPr>
          <w:t>3</w:t>
        </w:r>
        <w:r w:rsidR="00266197">
          <w:rPr>
            <w:noProof/>
            <w:webHidden/>
          </w:rPr>
          <w:fldChar w:fldCharType="end"/>
        </w:r>
      </w:hyperlink>
    </w:p>
    <w:p w14:paraId="53E3E54A" w14:textId="78B26EAA" w:rsidR="00266197" w:rsidRDefault="0085574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902850" w:history="1">
        <w:r w:rsidR="00266197" w:rsidRPr="00127692">
          <w:rPr>
            <w:rStyle w:val="Hyperlink"/>
            <w:noProof/>
          </w:rPr>
          <w:t>1</w:t>
        </w:r>
        <w:r w:rsidR="00266197">
          <w:rPr>
            <w:rFonts w:eastAsiaTheme="minorEastAsia" w:cstheme="minorBidi"/>
            <w:b w:val="0"/>
            <w:bCs w:val="0"/>
            <w:caps w:val="0"/>
            <w:noProof/>
            <w:sz w:val="22"/>
            <w:szCs w:val="22"/>
            <w:lang w:val="en-NZ" w:eastAsia="en-NZ" w:bidi="ar-SA"/>
          </w:rPr>
          <w:tab/>
        </w:r>
        <w:r w:rsidR="00266197" w:rsidRPr="00127692">
          <w:rPr>
            <w:rStyle w:val="Hyperlink"/>
            <w:noProof/>
          </w:rPr>
          <w:t>Introduction</w:t>
        </w:r>
        <w:r w:rsidR="00266197">
          <w:rPr>
            <w:noProof/>
            <w:webHidden/>
          </w:rPr>
          <w:tab/>
        </w:r>
        <w:r w:rsidR="00266197">
          <w:rPr>
            <w:noProof/>
            <w:webHidden/>
          </w:rPr>
          <w:fldChar w:fldCharType="begin"/>
        </w:r>
        <w:r w:rsidR="00266197">
          <w:rPr>
            <w:noProof/>
            <w:webHidden/>
          </w:rPr>
          <w:instrText xml:space="preserve"> PAGEREF _Toc506902850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68E02C36" w14:textId="05A80073"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1" w:history="1">
        <w:r w:rsidR="00266197" w:rsidRPr="00127692">
          <w:rPr>
            <w:rStyle w:val="Hyperlink"/>
            <w:noProof/>
          </w:rPr>
          <w:t>1.1</w:t>
        </w:r>
        <w:r w:rsidR="00266197">
          <w:rPr>
            <w:rFonts w:eastAsiaTheme="minorEastAsia" w:cstheme="minorBidi"/>
            <w:smallCaps w:val="0"/>
            <w:noProof/>
            <w:sz w:val="22"/>
            <w:szCs w:val="22"/>
            <w:lang w:val="en-NZ" w:eastAsia="en-NZ" w:bidi="ar-SA"/>
          </w:rPr>
          <w:tab/>
        </w:r>
        <w:r w:rsidR="00266197" w:rsidRPr="00127692">
          <w:rPr>
            <w:rStyle w:val="Hyperlink"/>
            <w:noProof/>
          </w:rPr>
          <w:t>The Applicant</w:t>
        </w:r>
        <w:r w:rsidR="00266197">
          <w:rPr>
            <w:noProof/>
            <w:webHidden/>
          </w:rPr>
          <w:tab/>
        </w:r>
        <w:r w:rsidR="00266197">
          <w:rPr>
            <w:noProof/>
            <w:webHidden/>
          </w:rPr>
          <w:fldChar w:fldCharType="begin"/>
        </w:r>
        <w:r w:rsidR="00266197">
          <w:rPr>
            <w:noProof/>
            <w:webHidden/>
          </w:rPr>
          <w:instrText xml:space="preserve"> PAGEREF _Toc506902851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7B0CF5C5" w14:textId="4AA501EF"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2" w:history="1">
        <w:r w:rsidR="00266197" w:rsidRPr="00127692">
          <w:rPr>
            <w:rStyle w:val="Hyperlink"/>
            <w:noProof/>
          </w:rPr>
          <w:t>1.2</w:t>
        </w:r>
        <w:r w:rsidR="00266197">
          <w:rPr>
            <w:rFonts w:eastAsiaTheme="minorEastAsia" w:cstheme="minorBidi"/>
            <w:smallCaps w:val="0"/>
            <w:noProof/>
            <w:sz w:val="22"/>
            <w:szCs w:val="22"/>
            <w:lang w:val="en-NZ" w:eastAsia="en-NZ" w:bidi="ar-SA"/>
          </w:rPr>
          <w:tab/>
        </w:r>
        <w:r w:rsidR="00266197" w:rsidRPr="00127692">
          <w:rPr>
            <w:rStyle w:val="Hyperlink"/>
            <w:noProof/>
          </w:rPr>
          <w:t>The Application</w:t>
        </w:r>
        <w:r w:rsidR="00266197">
          <w:rPr>
            <w:noProof/>
            <w:webHidden/>
          </w:rPr>
          <w:tab/>
        </w:r>
        <w:r w:rsidR="00266197">
          <w:rPr>
            <w:noProof/>
            <w:webHidden/>
          </w:rPr>
          <w:fldChar w:fldCharType="begin"/>
        </w:r>
        <w:r w:rsidR="00266197">
          <w:rPr>
            <w:noProof/>
            <w:webHidden/>
          </w:rPr>
          <w:instrText xml:space="preserve"> PAGEREF _Toc506902852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3B3D84D2" w14:textId="0658DDD1"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3" w:history="1">
        <w:r w:rsidR="00266197" w:rsidRPr="00127692">
          <w:rPr>
            <w:rStyle w:val="Hyperlink"/>
            <w:noProof/>
          </w:rPr>
          <w:t>1.3</w:t>
        </w:r>
        <w:r w:rsidR="00266197">
          <w:rPr>
            <w:rFonts w:eastAsiaTheme="minorEastAsia" w:cstheme="minorBidi"/>
            <w:smallCaps w:val="0"/>
            <w:noProof/>
            <w:sz w:val="22"/>
            <w:szCs w:val="22"/>
            <w:lang w:val="en-NZ" w:eastAsia="en-NZ" w:bidi="ar-SA"/>
          </w:rPr>
          <w:tab/>
        </w:r>
        <w:r w:rsidR="00266197" w:rsidRPr="00127692">
          <w:rPr>
            <w:rStyle w:val="Hyperlink"/>
            <w:noProof/>
          </w:rPr>
          <w:t>The current Standard</w:t>
        </w:r>
        <w:r w:rsidR="00266197">
          <w:rPr>
            <w:noProof/>
            <w:webHidden/>
          </w:rPr>
          <w:tab/>
        </w:r>
        <w:r w:rsidR="00266197">
          <w:rPr>
            <w:noProof/>
            <w:webHidden/>
          </w:rPr>
          <w:fldChar w:fldCharType="begin"/>
        </w:r>
        <w:r w:rsidR="00266197">
          <w:rPr>
            <w:noProof/>
            <w:webHidden/>
          </w:rPr>
          <w:instrText xml:space="preserve"> PAGEREF _Toc506902853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421D48AD" w14:textId="0F27DC4C"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54" w:history="1">
        <w:r w:rsidR="00266197" w:rsidRPr="00127692">
          <w:rPr>
            <w:rStyle w:val="Hyperlink"/>
            <w:noProof/>
          </w:rPr>
          <w:t>1.3.1</w:t>
        </w:r>
        <w:r w:rsidR="00266197">
          <w:rPr>
            <w:rFonts w:eastAsiaTheme="minorEastAsia" w:cstheme="minorBidi"/>
            <w:i w:val="0"/>
            <w:iCs w:val="0"/>
            <w:noProof/>
            <w:sz w:val="22"/>
            <w:szCs w:val="22"/>
            <w:lang w:val="en-NZ" w:eastAsia="en-NZ" w:bidi="ar-SA"/>
          </w:rPr>
          <w:tab/>
        </w:r>
        <w:r w:rsidR="00266197" w:rsidRPr="00127692">
          <w:rPr>
            <w:rStyle w:val="Hyperlink"/>
            <w:noProof/>
          </w:rPr>
          <w:t>International Standards</w:t>
        </w:r>
        <w:r w:rsidR="00266197">
          <w:rPr>
            <w:noProof/>
            <w:webHidden/>
          </w:rPr>
          <w:tab/>
        </w:r>
        <w:r w:rsidR="00266197">
          <w:rPr>
            <w:noProof/>
            <w:webHidden/>
          </w:rPr>
          <w:fldChar w:fldCharType="begin"/>
        </w:r>
        <w:r w:rsidR="00266197">
          <w:rPr>
            <w:noProof/>
            <w:webHidden/>
          </w:rPr>
          <w:instrText xml:space="preserve"> PAGEREF _Toc506902854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7879ED43" w14:textId="25C0BEF5"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5" w:history="1">
        <w:r w:rsidR="00266197" w:rsidRPr="00127692">
          <w:rPr>
            <w:rStyle w:val="Hyperlink"/>
            <w:noProof/>
            <w:u w:color="FFFF00"/>
          </w:rPr>
          <w:t>1.4</w:t>
        </w:r>
        <w:r w:rsidR="00266197">
          <w:rPr>
            <w:rFonts w:eastAsiaTheme="minorEastAsia" w:cstheme="minorBidi"/>
            <w:smallCaps w:val="0"/>
            <w:noProof/>
            <w:sz w:val="22"/>
            <w:szCs w:val="22"/>
            <w:lang w:val="en-NZ" w:eastAsia="en-NZ" w:bidi="ar-SA"/>
          </w:rPr>
          <w:tab/>
        </w:r>
        <w:r w:rsidR="00266197" w:rsidRPr="00127692">
          <w:rPr>
            <w:rStyle w:val="Hyperlink"/>
            <w:noProof/>
            <w:u w:color="FFFF00"/>
          </w:rPr>
          <w:t>Reasons for accepting Application</w:t>
        </w:r>
        <w:r w:rsidR="00266197">
          <w:rPr>
            <w:noProof/>
            <w:webHidden/>
          </w:rPr>
          <w:tab/>
        </w:r>
        <w:r w:rsidR="00266197">
          <w:rPr>
            <w:noProof/>
            <w:webHidden/>
          </w:rPr>
          <w:fldChar w:fldCharType="begin"/>
        </w:r>
        <w:r w:rsidR="00266197">
          <w:rPr>
            <w:noProof/>
            <w:webHidden/>
          </w:rPr>
          <w:instrText xml:space="preserve"> PAGEREF _Toc506902855 \h </w:instrText>
        </w:r>
        <w:r w:rsidR="00266197">
          <w:rPr>
            <w:noProof/>
            <w:webHidden/>
          </w:rPr>
        </w:r>
        <w:r w:rsidR="00266197">
          <w:rPr>
            <w:noProof/>
            <w:webHidden/>
          </w:rPr>
          <w:fldChar w:fldCharType="separate"/>
        </w:r>
        <w:r w:rsidR="00266197">
          <w:rPr>
            <w:noProof/>
            <w:webHidden/>
          </w:rPr>
          <w:t>4</w:t>
        </w:r>
        <w:r w:rsidR="00266197">
          <w:rPr>
            <w:noProof/>
            <w:webHidden/>
          </w:rPr>
          <w:fldChar w:fldCharType="end"/>
        </w:r>
      </w:hyperlink>
    </w:p>
    <w:p w14:paraId="78900A10" w14:textId="4CC122AE"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6" w:history="1">
        <w:r w:rsidR="00266197" w:rsidRPr="00127692">
          <w:rPr>
            <w:rStyle w:val="Hyperlink"/>
            <w:noProof/>
          </w:rPr>
          <w:t>1.5</w:t>
        </w:r>
        <w:r w:rsidR="00266197">
          <w:rPr>
            <w:rFonts w:eastAsiaTheme="minorEastAsia" w:cstheme="minorBidi"/>
            <w:smallCaps w:val="0"/>
            <w:noProof/>
            <w:sz w:val="22"/>
            <w:szCs w:val="22"/>
            <w:lang w:val="en-NZ" w:eastAsia="en-NZ" w:bidi="ar-SA"/>
          </w:rPr>
          <w:tab/>
        </w:r>
        <w:r w:rsidR="00266197" w:rsidRPr="00127692">
          <w:rPr>
            <w:rStyle w:val="Hyperlink"/>
            <w:noProof/>
          </w:rPr>
          <w:t>Procedure for assessment</w:t>
        </w:r>
        <w:r w:rsidR="00266197">
          <w:rPr>
            <w:noProof/>
            <w:webHidden/>
          </w:rPr>
          <w:tab/>
        </w:r>
        <w:r w:rsidR="00266197">
          <w:rPr>
            <w:noProof/>
            <w:webHidden/>
          </w:rPr>
          <w:fldChar w:fldCharType="begin"/>
        </w:r>
        <w:r w:rsidR="00266197">
          <w:rPr>
            <w:noProof/>
            <w:webHidden/>
          </w:rPr>
          <w:instrText xml:space="preserve"> PAGEREF _Toc506902856 \h </w:instrText>
        </w:r>
        <w:r w:rsidR="00266197">
          <w:rPr>
            <w:noProof/>
            <w:webHidden/>
          </w:rPr>
        </w:r>
        <w:r w:rsidR="00266197">
          <w:rPr>
            <w:noProof/>
            <w:webHidden/>
          </w:rPr>
          <w:fldChar w:fldCharType="separate"/>
        </w:r>
        <w:r w:rsidR="00266197">
          <w:rPr>
            <w:noProof/>
            <w:webHidden/>
          </w:rPr>
          <w:t>5</w:t>
        </w:r>
        <w:r w:rsidR="00266197">
          <w:rPr>
            <w:noProof/>
            <w:webHidden/>
          </w:rPr>
          <w:fldChar w:fldCharType="end"/>
        </w:r>
      </w:hyperlink>
    </w:p>
    <w:p w14:paraId="48DF0937" w14:textId="2BDDDD64"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7" w:history="1">
        <w:r w:rsidR="00266197" w:rsidRPr="00127692">
          <w:rPr>
            <w:rStyle w:val="Hyperlink"/>
            <w:noProof/>
          </w:rPr>
          <w:t>1.6</w:t>
        </w:r>
        <w:r w:rsidR="00266197">
          <w:rPr>
            <w:rFonts w:eastAsiaTheme="minorEastAsia" w:cstheme="minorBidi"/>
            <w:smallCaps w:val="0"/>
            <w:noProof/>
            <w:sz w:val="22"/>
            <w:szCs w:val="22"/>
            <w:lang w:val="en-NZ" w:eastAsia="en-NZ" w:bidi="ar-SA"/>
          </w:rPr>
          <w:tab/>
        </w:r>
        <w:r w:rsidR="00266197" w:rsidRPr="00127692">
          <w:rPr>
            <w:rStyle w:val="Hyperlink"/>
            <w:noProof/>
          </w:rPr>
          <w:t>Decision</w:t>
        </w:r>
        <w:r w:rsidR="00266197">
          <w:rPr>
            <w:noProof/>
            <w:webHidden/>
          </w:rPr>
          <w:tab/>
        </w:r>
        <w:r w:rsidR="00266197">
          <w:rPr>
            <w:noProof/>
            <w:webHidden/>
          </w:rPr>
          <w:fldChar w:fldCharType="begin"/>
        </w:r>
        <w:r w:rsidR="00266197">
          <w:rPr>
            <w:noProof/>
            <w:webHidden/>
          </w:rPr>
          <w:instrText xml:space="preserve"> PAGEREF _Toc506902857 \h </w:instrText>
        </w:r>
        <w:r w:rsidR="00266197">
          <w:rPr>
            <w:noProof/>
            <w:webHidden/>
          </w:rPr>
        </w:r>
        <w:r w:rsidR="00266197">
          <w:rPr>
            <w:noProof/>
            <w:webHidden/>
          </w:rPr>
          <w:fldChar w:fldCharType="separate"/>
        </w:r>
        <w:r w:rsidR="00266197">
          <w:rPr>
            <w:noProof/>
            <w:webHidden/>
          </w:rPr>
          <w:t>5</w:t>
        </w:r>
        <w:r w:rsidR="00266197">
          <w:rPr>
            <w:noProof/>
            <w:webHidden/>
          </w:rPr>
          <w:fldChar w:fldCharType="end"/>
        </w:r>
      </w:hyperlink>
    </w:p>
    <w:p w14:paraId="2F715122" w14:textId="51E6C7B9" w:rsidR="00266197" w:rsidRDefault="0085574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902858" w:history="1">
        <w:r w:rsidR="00266197" w:rsidRPr="00127692">
          <w:rPr>
            <w:rStyle w:val="Hyperlink"/>
            <w:noProof/>
          </w:rPr>
          <w:t>2</w:t>
        </w:r>
        <w:r w:rsidR="00266197">
          <w:rPr>
            <w:rFonts w:eastAsiaTheme="minorEastAsia" w:cstheme="minorBidi"/>
            <w:b w:val="0"/>
            <w:bCs w:val="0"/>
            <w:caps w:val="0"/>
            <w:noProof/>
            <w:sz w:val="22"/>
            <w:szCs w:val="22"/>
            <w:lang w:val="en-NZ" w:eastAsia="en-NZ" w:bidi="ar-SA"/>
          </w:rPr>
          <w:tab/>
        </w:r>
        <w:r w:rsidR="00266197" w:rsidRPr="00127692">
          <w:rPr>
            <w:rStyle w:val="Hyperlink"/>
            <w:noProof/>
          </w:rPr>
          <w:t xml:space="preserve">Summary </w:t>
        </w:r>
        <w:r w:rsidR="00266197" w:rsidRPr="00127692">
          <w:rPr>
            <w:rStyle w:val="Hyperlink"/>
            <w:noProof/>
            <w:u w:color="FFFF00"/>
          </w:rPr>
          <w:t>of</w:t>
        </w:r>
        <w:r w:rsidR="00266197" w:rsidRPr="00127692">
          <w:rPr>
            <w:rStyle w:val="Hyperlink"/>
            <w:noProof/>
          </w:rPr>
          <w:t xml:space="preserve"> the findings</w:t>
        </w:r>
        <w:r w:rsidR="00266197">
          <w:rPr>
            <w:noProof/>
            <w:webHidden/>
          </w:rPr>
          <w:tab/>
        </w:r>
        <w:r w:rsidR="00266197">
          <w:rPr>
            <w:noProof/>
            <w:webHidden/>
          </w:rPr>
          <w:fldChar w:fldCharType="begin"/>
        </w:r>
        <w:r w:rsidR="00266197">
          <w:rPr>
            <w:noProof/>
            <w:webHidden/>
          </w:rPr>
          <w:instrText xml:space="preserve"> PAGEREF _Toc506902858 \h </w:instrText>
        </w:r>
        <w:r w:rsidR="00266197">
          <w:rPr>
            <w:noProof/>
            <w:webHidden/>
          </w:rPr>
        </w:r>
        <w:r w:rsidR="00266197">
          <w:rPr>
            <w:noProof/>
            <w:webHidden/>
          </w:rPr>
          <w:fldChar w:fldCharType="separate"/>
        </w:r>
        <w:r w:rsidR="00266197">
          <w:rPr>
            <w:noProof/>
            <w:webHidden/>
          </w:rPr>
          <w:t>5</w:t>
        </w:r>
        <w:r w:rsidR="00266197">
          <w:rPr>
            <w:noProof/>
            <w:webHidden/>
          </w:rPr>
          <w:fldChar w:fldCharType="end"/>
        </w:r>
      </w:hyperlink>
    </w:p>
    <w:p w14:paraId="29424A23" w14:textId="0BA28EE5"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59" w:history="1">
        <w:r w:rsidR="00266197" w:rsidRPr="00127692">
          <w:rPr>
            <w:rStyle w:val="Hyperlink"/>
            <w:noProof/>
          </w:rPr>
          <w:t>2.1</w:t>
        </w:r>
        <w:r w:rsidR="00266197">
          <w:rPr>
            <w:rFonts w:eastAsiaTheme="minorEastAsia" w:cstheme="minorBidi"/>
            <w:smallCaps w:val="0"/>
            <w:noProof/>
            <w:sz w:val="22"/>
            <w:szCs w:val="22"/>
            <w:lang w:val="en-NZ" w:eastAsia="en-NZ" w:bidi="ar-SA"/>
          </w:rPr>
          <w:tab/>
        </w:r>
        <w:r w:rsidR="00266197" w:rsidRPr="00127692">
          <w:rPr>
            <w:rStyle w:val="Hyperlink"/>
            <w:noProof/>
          </w:rPr>
          <w:t>Summary of issues raised in submissions</w:t>
        </w:r>
        <w:r w:rsidR="00266197">
          <w:rPr>
            <w:noProof/>
            <w:webHidden/>
          </w:rPr>
          <w:tab/>
        </w:r>
        <w:r w:rsidR="00266197">
          <w:rPr>
            <w:noProof/>
            <w:webHidden/>
          </w:rPr>
          <w:fldChar w:fldCharType="begin"/>
        </w:r>
        <w:r w:rsidR="00266197">
          <w:rPr>
            <w:noProof/>
            <w:webHidden/>
          </w:rPr>
          <w:instrText xml:space="preserve"> PAGEREF _Toc506902859 \h </w:instrText>
        </w:r>
        <w:r w:rsidR="00266197">
          <w:rPr>
            <w:noProof/>
            <w:webHidden/>
          </w:rPr>
        </w:r>
        <w:r w:rsidR="00266197">
          <w:rPr>
            <w:noProof/>
            <w:webHidden/>
          </w:rPr>
          <w:fldChar w:fldCharType="separate"/>
        </w:r>
        <w:r w:rsidR="00266197">
          <w:rPr>
            <w:noProof/>
            <w:webHidden/>
          </w:rPr>
          <w:t>5</w:t>
        </w:r>
        <w:r w:rsidR="00266197">
          <w:rPr>
            <w:noProof/>
            <w:webHidden/>
          </w:rPr>
          <w:fldChar w:fldCharType="end"/>
        </w:r>
      </w:hyperlink>
    </w:p>
    <w:p w14:paraId="6F22F0D0" w14:textId="4FAAEF24"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0" w:history="1">
        <w:r w:rsidR="00266197" w:rsidRPr="00127692">
          <w:rPr>
            <w:rStyle w:val="Hyperlink"/>
            <w:noProof/>
          </w:rPr>
          <w:t>2.1.1</w:t>
        </w:r>
        <w:r w:rsidR="00266197">
          <w:rPr>
            <w:rFonts w:eastAsiaTheme="minorEastAsia" w:cstheme="minorBidi"/>
            <w:i w:val="0"/>
            <w:iCs w:val="0"/>
            <w:noProof/>
            <w:sz w:val="22"/>
            <w:szCs w:val="22"/>
            <w:lang w:val="en-NZ" w:eastAsia="en-NZ" w:bidi="ar-SA"/>
          </w:rPr>
          <w:tab/>
        </w:r>
        <w:r w:rsidR="00266197" w:rsidRPr="00127692">
          <w:rPr>
            <w:rStyle w:val="Hyperlink"/>
            <w:noProof/>
            <w:lang w:val="en-AU"/>
          </w:rPr>
          <w:t>Specifity of protein glutaminase</w:t>
        </w:r>
        <w:r w:rsidR="00266197">
          <w:rPr>
            <w:noProof/>
            <w:webHidden/>
          </w:rPr>
          <w:tab/>
        </w:r>
        <w:r w:rsidR="00266197">
          <w:rPr>
            <w:noProof/>
            <w:webHidden/>
          </w:rPr>
          <w:fldChar w:fldCharType="begin"/>
        </w:r>
        <w:r w:rsidR="00266197">
          <w:rPr>
            <w:noProof/>
            <w:webHidden/>
          </w:rPr>
          <w:instrText xml:space="preserve"> PAGEREF _Toc506902860 \h </w:instrText>
        </w:r>
        <w:r w:rsidR="00266197">
          <w:rPr>
            <w:noProof/>
            <w:webHidden/>
          </w:rPr>
        </w:r>
        <w:r w:rsidR="00266197">
          <w:rPr>
            <w:noProof/>
            <w:webHidden/>
          </w:rPr>
          <w:fldChar w:fldCharType="separate"/>
        </w:r>
        <w:r w:rsidR="00266197">
          <w:rPr>
            <w:noProof/>
            <w:webHidden/>
          </w:rPr>
          <w:t>10</w:t>
        </w:r>
        <w:r w:rsidR="00266197">
          <w:rPr>
            <w:noProof/>
            <w:webHidden/>
          </w:rPr>
          <w:fldChar w:fldCharType="end"/>
        </w:r>
      </w:hyperlink>
    </w:p>
    <w:p w14:paraId="2A7D3C12" w14:textId="3C0A859F"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1" w:history="1">
        <w:r w:rsidR="00266197" w:rsidRPr="00127692">
          <w:rPr>
            <w:rStyle w:val="Hyperlink"/>
            <w:noProof/>
          </w:rPr>
          <w:t>2.1.2</w:t>
        </w:r>
        <w:r w:rsidR="00266197">
          <w:rPr>
            <w:rFonts w:eastAsiaTheme="minorEastAsia" w:cstheme="minorBidi"/>
            <w:i w:val="0"/>
            <w:iCs w:val="0"/>
            <w:noProof/>
            <w:sz w:val="22"/>
            <w:szCs w:val="22"/>
            <w:lang w:val="en-NZ" w:eastAsia="en-NZ" w:bidi="ar-SA"/>
          </w:rPr>
          <w:tab/>
        </w:r>
        <w:r w:rsidR="00266197" w:rsidRPr="00127692">
          <w:rPr>
            <w:rStyle w:val="Hyperlink"/>
            <w:noProof/>
          </w:rPr>
          <w:t>Protein glutaminase and coeliac disease</w:t>
        </w:r>
        <w:r w:rsidR="00266197">
          <w:rPr>
            <w:noProof/>
            <w:webHidden/>
          </w:rPr>
          <w:tab/>
        </w:r>
        <w:r w:rsidR="00266197">
          <w:rPr>
            <w:noProof/>
            <w:webHidden/>
          </w:rPr>
          <w:fldChar w:fldCharType="begin"/>
        </w:r>
        <w:r w:rsidR="00266197">
          <w:rPr>
            <w:noProof/>
            <w:webHidden/>
          </w:rPr>
          <w:instrText xml:space="preserve"> PAGEREF _Toc506902861 \h </w:instrText>
        </w:r>
        <w:r w:rsidR="00266197">
          <w:rPr>
            <w:noProof/>
            <w:webHidden/>
          </w:rPr>
        </w:r>
        <w:r w:rsidR="00266197">
          <w:rPr>
            <w:noProof/>
            <w:webHidden/>
          </w:rPr>
          <w:fldChar w:fldCharType="separate"/>
        </w:r>
        <w:r w:rsidR="00266197">
          <w:rPr>
            <w:noProof/>
            <w:webHidden/>
          </w:rPr>
          <w:t>10</w:t>
        </w:r>
        <w:r w:rsidR="00266197">
          <w:rPr>
            <w:noProof/>
            <w:webHidden/>
          </w:rPr>
          <w:fldChar w:fldCharType="end"/>
        </w:r>
      </w:hyperlink>
    </w:p>
    <w:p w14:paraId="21765695" w14:textId="4C22FF03"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62" w:history="1">
        <w:r w:rsidR="00266197" w:rsidRPr="00127692">
          <w:rPr>
            <w:rStyle w:val="Hyperlink"/>
            <w:noProof/>
          </w:rPr>
          <w:t>2.2</w:t>
        </w:r>
        <w:r w:rsidR="00266197">
          <w:rPr>
            <w:rFonts w:eastAsiaTheme="minorEastAsia" w:cstheme="minorBidi"/>
            <w:smallCaps w:val="0"/>
            <w:noProof/>
            <w:sz w:val="22"/>
            <w:szCs w:val="22"/>
            <w:lang w:val="en-NZ" w:eastAsia="en-NZ" w:bidi="ar-SA"/>
          </w:rPr>
          <w:tab/>
        </w:r>
        <w:r w:rsidR="00266197" w:rsidRPr="00127692">
          <w:rPr>
            <w:rStyle w:val="Hyperlink"/>
            <w:noProof/>
          </w:rPr>
          <w:t>Risk assessment</w:t>
        </w:r>
        <w:r w:rsidR="00266197">
          <w:rPr>
            <w:noProof/>
            <w:webHidden/>
          </w:rPr>
          <w:tab/>
        </w:r>
        <w:r w:rsidR="00266197">
          <w:rPr>
            <w:noProof/>
            <w:webHidden/>
          </w:rPr>
          <w:fldChar w:fldCharType="begin"/>
        </w:r>
        <w:r w:rsidR="00266197">
          <w:rPr>
            <w:noProof/>
            <w:webHidden/>
          </w:rPr>
          <w:instrText xml:space="preserve"> PAGEREF _Toc506902862 \h </w:instrText>
        </w:r>
        <w:r w:rsidR="00266197">
          <w:rPr>
            <w:noProof/>
            <w:webHidden/>
          </w:rPr>
        </w:r>
        <w:r w:rsidR="00266197">
          <w:rPr>
            <w:noProof/>
            <w:webHidden/>
          </w:rPr>
          <w:fldChar w:fldCharType="separate"/>
        </w:r>
        <w:r w:rsidR="00266197">
          <w:rPr>
            <w:noProof/>
            <w:webHidden/>
          </w:rPr>
          <w:t>11</w:t>
        </w:r>
        <w:r w:rsidR="00266197">
          <w:rPr>
            <w:noProof/>
            <w:webHidden/>
          </w:rPr>
          <w:fldChar w:fldCharType="end"/>
        </w:r>
      </w:hyperlink>
    </w:p>
    <w:p w14:paraId="53E45603" w14:textId="4491BDDA"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63" w:history="1">
        <w:r w:rsidR="00266197" w:rsidRPr="00127692">
          <w:rPr>
            <w:rStyle w:val="Hyperlink"/>
            <w:noProof/>
          </w:rPr>
          <w:t>2.3</w:t>
        </w:r>
        <w:r w:rsidR="00266197">
          <w:rPr>
            <w:rFonts w:eastAsiaTheme="minorEastAsia" w:cstheme="minorBidi"/>
            <w:smallCaps w:val="0"/>
            <w:noProof/>
            <w:sz w:val="22"/>
            <w:szCs w:val="22"/>
            <w:lang w:val="en-NZ" w:eastAsia="en-NZ" w:bidi="ar-SA"/>
          </w:rPr>
          <w:tab/>
        </w:r>
        <w:r w:rsidR="00266197" w:rsidRPr="00127692">
          <w:rPr>
            <w:rStyle w:val="Hyperlink"/>
            <w:noProof/>
          </w:rPr>
          <w:t>Risk management</w:t>
        </w:r>
        <w:r w:rsidR="00266197">
          <w:rPr>
            <w:noProof/>
            <w:webHidden/>
          </w:rPr>
          <w:tab/>
        </w:r>
        <w:r w:rsidR="00266197">
          <w:rPr>
            <w:noProof/>
            <w:webHidden/>
          </w:rPr>
          <w:fldChar w:fldCharType="begin"/>
        </w:r>
        <w:r w:rsidR="00266197">
          <w:rPr>
            <w:noProof/>
            <w:webHidden/>
          </w:rPr>
          <w:instrText xml:space="preserve"> PAGEREF _Toc506902863 \h </w:instrText>
        </w:r>
        <w:r w:rsidR="00266197">
          <w:rPr>
            <w:noProof/>
            <w:webHidden/>
          </w:rPr>
        </w:r>
        <w:r w:rsidR="00266197">
          <w:rPr>
            <w:noProof/>
            <w:webHidden/>
          </w:rPr>
          <w:fldChar w:fldCharType="separate"/>
        </w:r>
        <w:r w:rsidR="00266197">
          <w:rPr>
            <w:noProof/>
            <w:webHidden/>
          </w:rPr>
          <w:t>12</w:t>
        </w:r>
        <w:r w:rsidR="00266197">
          <w:rPr>
            <w:noProof/>
            <w:webHidden/>
          </w:rPr>
          <w:fldChar w:fldCharType="end"/>
        </w:r>
      </w:hyperlink>
    </w:p>
    <w:p w14:paraId="79C4A0A8" w14:textId="79C92194"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4" w:history="1">
        <w:r w:rsidR="00266197" w:rsidRPr="00127692">
          <w:rPr>
            <w:rStyle w:val="Hyperlink"/>
            <w:noProof/>
          </w:rPr>
          <w:t>2.3.1</w:t>
        </w:r>
        <w:r w:rsidR="00266197">
          <w:rPr>
            <w:rFonts w:eastAsiaTheme="minorEastAsia" w:cstheme="minorBidi"/>
            <w:i w:val="0"/>
            <w:iCs w:val="0"/>
            <w:noProof/>
            <w:sz w:val="22"/>
            <w:szCs w:val="22"/>
            <w:lang w:val="en-NZ" w:eastAsia="en-NZ" w:bidi="ar-SA"/>
          </w:rPr>
          <w:tab/>
        </w:r>
        <w:r w:rsidR="00266197" w:rsidRPr="00127692">
          <w:rPr>
            <w:rStyle w:val="Hyperlink"/>
            <w:noProof/>
          </w:rPr>
          <w:t>Levels of addition</w:t>
        </w:r>
        <w:r w:rsidR="00266197">
          <w:rPr>
            <w:noProof/>
            <w:webHidden/>
          </w:rPr>
          <w:tab/>
        </w:r>
        <w:r w:rsidR="00266197">
          <w:rPr>
            <w:noProof/>
            <w:webHidden/>
          </w:rPr>
          <w:fldChar w:fldCharType="begin"/>
        </w:r>
        <w:r w:rsidR="00266197">
          <w:rPr>
            <w:noProof/>
            <w:webHidden/>
          </w:rPr>
          <w:instrText xml:space="preserve"> PAGEREF _Toc506902864 \h </w:instrText>
        </w:r>
        <w:r w:rsidR="00266197">
          <w:rPr>
            <w:noProof/>
            <w:webHidden/>
          </w:rPr>
        </w:r>
        <w:r w:rsidR="00266197">
          <w:rPr>
            <w:noProof/>
            <w:webHidden/>
          </w:rPr>
          <w:fldChar w:fldCharType="separate"/>
        </w:r>
        <w:r w:rsidR="00266197">
          <w:rPr>
            <w:noProof/>
            <w:webHidden/>
          </w:rPr>
          <w:t>12</w:t>
        </w:r>
        <w:r w:rsidR="00266197">
          <w:rPr>
            <w:noProof/>
            <w:webHidden/>
          </w:rPr>
          <w:fldChar w:fldCharType="end"/>
        </w:r>
      </w:hyperlink>
    </w:p>
    <w:p w14:paraId="075438A2" w14:textId="52152124"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5" w:history="1">
        <w:r w:rsidR="00266197" w:rsidRPr="00127692">
          <w:rPr>
            <w:rStyle w:val="Hyperlink"/>
            <w:noProof/>
          </w:rPr>
          <w:t>2.3.2</w:t>
        </w:r>
        <w:r w:rsidR="00266197">
          <w:rPr>
            <w:rFonts w:eastAsiaTheme="minorEastAsia" w:cstheme="minorBidi"/>
            <w:i w:val="0"/>
            <w:iCs w:val="0"/>
            <w:noProof/>
            <w:sz w:val="22"/>
            <w:szCs w:val="22"/>
            <w:lang w:val="en-NZ" w:eastAsia="en-NZ" w:bidi="ar-SA"/>
          </w:rPr>
          <w:tab/>
        </w:r>
        <w:r w:rsidR="00266197" w:rsidRPr="00127692">
          <w:rPr>
            <w:rStyle w:val="Hyperlink"/>
            <w:noProof/>
          </w:rPr>
          <w:t>Specifications</w:t>
        </w:r>
        <w:r w:rsidR="00266197">
          <w:rPr>
            <w:noProof/>
            <w:webHidden/>
          </w:rPr>
          <w:tab/>
        </w:r>
        <w:r w:rsidR="00266197">
          <w:rPr>
            <w:noProof/>
            <w:webHidden/>
          </w:rPr>
          <w:fldChar w:fldCharType="begin"/>
        </w:r>
        <w:r w:rsidR="00266197">
          <w:rPr>
            <w:noProof/>
            <w:webHidden/>
          </w:rPr>
          <w:instrText xml:space="preserve"> PAGEREF _Toc506902865 \h </w:instrText>
        </w:r>
        <w:r w:rsidR="00266197">
          <w:rPr>
            <w:noProof/>
            <w:webHidden/>
          </w:rPr>
        </w:r>
        <w:r w:rsidR="00266197">
          <w:rPr>
            <w:noProof/>
            <w:webHidden/>
          </w:rPr>
          <w:fldChar w:fldCharType="separate"/>
        </w:r>
        <w:r w:rsidR="00266197">
          <w:rPr>
            <w:noProof/>
            <w:webHidden/>
          </w:rPr>
          <w:t>12</w:t>
        </w:r>
        <w:r w:rsidR="00266197">
          <w:rPr>
            <w:noProof/>
            <w:webHidden/>
          </w:rPr>
          <w:fldChar w:fldCharType="end"/>
        </w:r>
      </w:hyperlink>
    </w:p>
    <w:p w14:paraId="450D4C09" w14:textId="596820C7"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6" w:history="1">
        <w:r w:rsidR="00266197" w:rsidRPr="00127692">
          <w:rPr>
            <w:rStyle w:val="Hyperlink"/>
            <w:noProof/>
          </w:rPr>
          <w:t>2.3.3</w:t>
        </w:r>
        <w:r w:rsidR="00266197">
          <w:rPr>
            <w:rFonts w:eastAsiaTheme="minorEastAsia" w:cstheme="minorBidi"/>
            <w:i w:val="0"/>
            <w:iCs w:val="0"/>
            <w:noProof/>
            <w:sz w:val="22"/>
            <w:szCs w:val="22"/>
            <w:lang w:val="en-NZ" w:eastAsia="en-NZ" w:bidi="ar-SA"/>
          </w:rPr>
          <w:tab/>
        </w:r>
        <w:r w:rsidR="00266197" w:rsidRPr="00127692">
          <w:rPr>
            <w:rStyle w:val="Hyperlink"/>
            <w:noProof/>
          </w:rPr>
          <w:t>Labelling</w:t>
        </w:r>
        <w:r w:rsidR="00266197">
          <w:rPr>
            <w:noProof/>
            <w:webHidden/>
          </w:rPr>
          <w:tab/>
        </w:r>
        <w:r w:rsidR="00266197">
          <w:rPr>
            <w:noProof/>
            <w:webHidden/>
          </w:rPr>
          <w:fldChar w:fldCharType="begin"/>
        </w:r>
        <w:r w:rsidR="00266197">
          <w:rPr>
            <w:noProof/>
            <w:webHidden/>
          </w:rPr>
          <w:instrText xml:space="preserve"> PAGEREF _Toc506902866 \h </w:instrText>
        </w:r>
        <w:r w:rsidR="00266197">
          <w:rPr>
            <w:noProof/>
            <w:webHidden/>
          </w:rPr>
        </w:r>
        <w:r w:rsidR="00266197">
          <w:rPr>
            <w:noProof/>
            <w:webHidden/>
          </w:rPr>
          <w:fldChar w:fldCharType="separate"/>
        </w:r>
        <w:r w:rsidR="00266197">
          <w:rPr>
            <w:noProof/>
            <w:webHidden/>
          </w:rPr>
          <w:t>12</w:t>
        </w:r>
        <w:r w:rsidR="00266197">
          <w:rPr>
            <w:noProof/>
            <w:webHidden/>
          </w:rPr>
          <w:fldChar w:fldCharType="end"/>
        </w:r>
      </w:hyperlink>
    </w:p>
    <w:p w14:paraId="2A2ABD0D" w14:textId="75BE7335"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67" w:history="1">
        <w:r w:rsidR="00266197" w:rsidRPr="00127692">
          <w:rPr>
            <w:rStyle w:val="Hyperlink"/>
            <w:noProof/>
          </w:rPr>
          <w:t>2.4</w:t>
        </w:r>
        <w:r w:rsidR="00266197">
          <w:rPr>
            <w:rFonts w:eastAsiaTheme="minorEastAsia" w:cstheme="minorBidi"/>
            <w:smallCaps w:val="0"/>
            <w:noProof/>
            <w:sz w:val="22"/>
            <w:szCs w:val="22"/>
            <w:lang w:val="en-NZ" w:eastAsia="en-NZ" w:bidi="ar-SA"/>
          </w:rPr>
          <w:tab/>
        </w:r>
        <w:r w:rsidR="00266197" w:rsidRPr="00127692">
          <w:rPr>
            <w:rStyle w:val="Hyperlink"/>
            <w:noProof/>
          </w:rPr>
          <w:t>Risk communication</w:t>
        </w:r>
        <w:r w:rsidR="00266197">
          <w:rPr>
            <w:noProof/>
            <w:webHidden/>
          </w:rPr>
          <w:tab/>
        </w:r>
        <w:r w:rsidR="00266197">
          <w:rPr>
            <w:noProof/>
            <w:webHidden/>
          </w:rPr>
          <w:fldChar w:fldCharType="begin"/>
        </w:r>
        <w:r w:rsidR="00266197">
          <w:rPr>
            <w:noProof/>
            <w:webHidden/>
          </w:rPr>
          <w:instrText xml:space="preserve"> PAGEREF _Toc506902867 \h </w:instrText>
        </w:r>
        <w:r w:rsidR="00266197">
          <w:rPr>
            <w:noProof/>
            <w:webHidden/>
          </w:rPr>
        </w:r>
        <w:r w:rsidR="00266197">
          <w:rPr>
            <w:noProof/>
            <w:webHidden/>
          </w:rPr>
          <w:fldChar w:fldCharType="separate"/>
        </w:r>
        <w:r w:rsidR="00266197">
          <w:rPr>
            <w:noProof/>
            <w:webHidden/>
          </w:rPr>
          <w:t>13</w:t>
        </w:r>
        <w:r w:rsidR="00266197">
          <w:rPr>
            <w:noProof/>
            <w:webHidden/>
          </w:rPr>
          <w:fldChar w:fldCharType="end"/>
        </w:r>
      </w:hyperlink>
    </w:p>
    <w:p w14:paraId="44A37603" w14:textId="32A48145"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68" w:history="1">
        <w:r w:rsidR="00266197" w:rsidRPr="00127692">
          <w:rPr>
            <w:rStyle w:val="Hyperlink"/>
            <w:noProof/>
          </w:rPr>
          <w:t>2.4.1</w:t>
        </w:r>
        <w:r w:rsidR="00266197">
          <w:rPr>
            <w:rFonts w:eastAsiaTheme="minorEastAsia" w:cstheme="minorBidi"/>
            <w:i w:val="0"/>
            <w:iCs w:val="0"/>
            <w:noProof/>
            <w:sz w:val="22"/>
            <w:szCs w:val="22"/>
            <w:lang w:val="en-NZ" w:eastAsia="en-NZ" w:bidi="ar-SA"/>
          </w:rPr>
          <w:tab/>
        </w:r>
        <w:r w:rsidR="00266197" w:rsidRPr="00127692">
          <w:rPr>
            <w:rStyle w:val="Hyperlink"/>
            <w:noProof/>
          </w:rPr>
          <w:t>Consultation</w:t>
        </w:r>
        <w:r w:rsidR="00266197">
          <w:rPr>
            <w:noProof/>
            <w:webHidden/>
          </w:rPr>
          <w:tab/>
        </w:r>
        <w:r w:rsidR="00266197">
          <w:rPr>
            <w:noProof/>
            <w:webHidden/>
          </w:rPr>
          <w:fldChar w:fldCharType="begin"/>
        </w:r>
        <w:r w:rsidR="00266197">
          <w:rPr>
            <w:noProof/>
            <w:webHidden/>
          </w:rPr>
          <w:instrText xml:space="preserve"> PAGEREF _Toc506902868 \h </w:instrText>
        </w:r>
        <w:r w:rsidR="00266197">
          <w:rPr>
            <w:noProof/>
            <w:webHidden/>
          </w:rPr>
        </w:r>
        <w:r w:rsidR="00266197">
          <w:rPr>
            <w:noProof/>
            <w:webHidden/>
          </w:rPr>
          <w:fldChar w:fldCharType="separate"/>
        </w:r>
        <w:r w:rsidR="00266197">
          <w:rPr>
            <w:noProof/>
            <w:webHidden/>
          </w:rPr>
          <w:t>13</w:t>
        </w:r>
        <w:r w:rsidR="00266197">
          <w:rPr>
            <w:noProof/>
            <w:webHidden/>
          </w:rPr>
          <w:fldChar w:fldCharType="end"/>
        </w:r>
      </w:hyperlink>
    </w:p>
    <w:p w14:paraId="4DF32635" w14:textId="0BBD4D26" w:rsidR="00266197" w:rsidRDefault="0085574E">
      <w:pPr>
        <w:pStyle w:val="TOC2"/>
        <w:tabs>
          <w:tab w:val="left" w:pos="880"/>
          <w:tab w:val="right" w:leader="dot" w:pos="9060"/>
        </w:tabs>
        <w:rPr>
          <w:rFonts w:eastAsiaTheme="minorEastAsia" w:cstheme="minorBidi"/>
          <w:smallCaps w:val="0"/>
          <w:noProof/>
          <w:sz w:val="22"/>
          <w:szCs w:val="22"/>
          <w:lang w:val="en-NZ" w:eastAsia="en-NZ" w:bidi="ar-SA"/>
        </w:rPr>
      </w:pPr>
      <w:hyperlink w:anchor="_Toc506902869" w:history="1">
        <w:r w:rsidR="00266197" w:rsidRPr="00127692">
          <w:rPr>
            <w:rStyle w:val="Hyperlink"/>
            <w:noProof/>
          </w:rPr>
          <w:t>2.5</w:t>
        </w:r>
        <w:r w:rsidR="00266197">
          <w:rPr>
            <w:rFonts w:eastAsiaTheme="minorEastAsia" w:cstheme="minorBidi"/>
            <w:smallCaps w:val="0"/>
            <w:noProof/>
            <w:sz w:val="22"/>
            <w:szCs w:val="22"/>
            <w:lang w:val="en-NZ" w:eastAsia="en-NZ" w:bidi="ar-SA"/>
          </w:rPr>
          <w:tab/>
        </w:r>
        <w:r w:rsidR="00266197" w:rsidRPr="00127692">
          <w:rPr>
            <w:rStyle w:val="Hyperlink"/>
            <w:noProof/>
          </w:rPr>
          <w:t>FSANZ Act assessment requirements</w:t>
        </w:r>
        <w:r w:rsidR="00266197">
          <w:rPr>
            <w:noProof/>
            <w:webHidden/>
          </w:rPr>
          <w:tab/>
        </w:r>
        <w:r w:rsidR="00266197">
          <w:rPr>
            <w:noProof/>
            <w:webHidden/>
          </w:rPr>
          <w:fldChar w:fldCharType="begin"/>
        </w:r>
        <w:r w:rsidR="00266197">
          <w:rPr>
            <w:noProof/>
            <w:webHidden/>
          </w:rPr>
          <w:instrText xml:space="preserve"> PAGEREF _Toc506902869 \h </w:instrText>
        </w:r>
        <w:r w:rsidR="00266197">
          <w:rPr>
            <w:noProof/>
            <w:webHidden/>
          </w:rPr>
        </w:r>
        <w:r w:rsidR="00266197">
          <w:rPr>
            <w:noProof/>
            <w:webHidden/>
          </w:rPr>
          <w:fldChar w:fldCharType="separate"/>
        </w:r>
        <w:r w:rsidR="00266197">
          <w:rPr>
            <w:noProof/>
            <w:webHidden/>
          </w:rPr>
          <w:t>13</w:t>
        </w:r>
        <w:r w:rsidR="00266197">
          <w:rPr>
            <w:noProof/>
            <w:webHidden/>
          </w:rPr>
          <w:fldChar w:fldCharType="end"/>
        </w:r>
      </w:hyperlink>
    </w:p>
    <w:p w14:paraId="040DA649" w14:textId="6A23B0A7"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70" w:history="1">
        <w:r w:rsidR="00266197" w:rsidRPr="00127692">
          <w:rPr>
            <w:rStyle w:val="Hyperlink"/>
            <w:noProof/>
          </w:rPr>
          <w:t>2.5.1</w:t>
        </w:r>
        <w:r w:rsidR="00266197">
          <w:rPr>
            <w:rFonts w:eastAsiaTheme="minorEastAsia" w:cstheme="minorBidi"/>
            <w:i w:val="0"/>
            <w:iCs w:val="0"/>
            <w:noProof/>
            <w:sz w:val="22"/>
            <w:szCs w:val="22"/>
            <w:lang w:val="en-NZ" w:eastAsia="en-NZ" w:bidi="ar-SA"/>
          </w:rPr>
          <w:tab/>
        </w:r>
        <w:r w:rsidR="00266197" w:rsidRPr="00127692">
          <w:rPr>
            <w:rStyle w:val="Hyperlink"/>
            <w:noProof/>
          </w:rPr>
          <w:t>Section 29</w:t>
        </w:r>
        <w:r w:rsidR="00266197">
          <w:rPr>
            <w:noProof/>
            <w:webHidden/>
          </w:rPr>
          <w:tab/>
        </w:r>
        <w:r w:rsidR="00266197">
          <w:rPr>
            <w:noProof/>
            <w:webHidden/>
          </w:rPr>
          <w:fldChar w:fldCharType="begin"/>
        </w:r>
        <w:r w:rsidR="00266197">
          <w:rPr>
            <w:noProof/>
            <w:webHidden/>
          </w:rPr>
          <w:instrText xml:space="preserve"> PAGEREF _Toc506902870 \h </w:instrText>
        </w:r>
        <w:r w:rsidR="00266197">
          <w:rPr>
            <w:noProof/>
            <w:webHidden/>
          </w:rPr>
        </w:r>
        <w:r w:rsidR="00266197">
          <w:rPr>
            <w:noProof/>
            <w:webHidden/>
          </w:rPr>
          <w:fldChar w:fldCharType="separate"/>
        </w:r>
        <w:r w:rsidR="00266197">
          <w:rPr>
            <w:noProof/>
            <w:webHidden/>
          </w:rPr>
          <w:t>13</w:t>
        </w:r>
        <w:r w:rsidR="00266197">
          <w:rPr>
            <w:noProof/>
            <w:webHidden/>
          </w:rPr>
          <w:fldChar w:fldCharType="end"/>
        </w:r>
      </w:hyperlink>
    </w:p>
    <w:p w14:paraId="1AB0E8A2" w14:textId="5777F3FD"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71" w:history="1">
        <w:r w:rsidR="00266197" w:rsidRPr="00127692">
          <w:rPr>
            <w:rStyle w:val="Hyperlink"/>
            <w:noProof/>
          </w:rPr>
          <w:t>2.5.2</w:t>
        </w:r>
        <w:r w:rsidR="00266197">
          <w:rPr>
            <w:rFonts w:eastAsiaTheme="minorEastAsia" w:cstheme="minorBidi"/>
            <w:i w:val="0"/>
            <w:iCs w:val="0"/>
            <w:noProof/>
            <w:sz w:val="22"/>
            <w:szCs w:val="22"/>
            <w:lang w:val="en-NZ" w:eastAsia="en-NZ" w:bidi="ar-SA"/>
          </w:rPr>
          <w:tab/>
        </w:r>
        <w:r w:rsidR="00266197" w:rsidRPr="00127692">
          <w:rPr>
            <w:rStyle w:val="Hyperlink"/>
            <w:noProof/>
          </w:rPr>
          <w:t>Subsection 18(1)</w:t>
        </w:r>
        <w:r w:rsidR="00266197">
          <w:rPr>
            <w:noProof/>
            <w:webHidden/>
          </w:rPr>
          <w:tab/>
        </w:r>
        <w:r w:rsidR="00266197">
          <w:rPr>
            <w:noProof/>
            <w:webHidden/>
          </w:rPr>
          <w:fldChar w:fldCharType="begin"/>
        </w:r>
        <w:r w:rsidR="00266197">
          <w:rPr>
            <w:noProof/>
            <w:webHidden/>
          </w:rPr>
          <w:instrText xml:space="preserve"> PAGEREF _Toc506902871 \h </w:instrText>
        </w:r>
        <w:r w:rsidR="00266197">
          <w:rPr>
            <w:noProof/>
            <w:webHidden/>
          </w:rPr>
        </w:r>
        <w:r w:rsidR="00266197">
          <w:rPr>
            <w:noProof/>
            <w:webHidden/>
          </w:rPr>
          <w:fldChar w:fldCharType="separate"/>
        </w:r>
        <w:r w:rsidR="00266197">
          <w:rPr>
            <w:noProof/>
            <w:webHidden/>
          </w:rPr>
          <w:t>14</w:t>
        </w:r>
        <w:r w:rsidR="00266197">
          <w:rPr>
            <w:noProof/>
            <w:webHidden/>
          </w:rPr>
          <w:fldChar w:fldCharType="end"/>
        </w:r>
      </w:hyperlink>
    </w:p>
    <w:p w14:paraId="0FD9457A" w14:textId="53978A0C" w:rsidR="00266197" w:rsidRDefault="0085574E">
      <w:pPr>
        <w:pStyle w:val="TOC3"/>
        <w:tabs>
          <w:tab w:val="left" w:pos="1100"/>
          <w:tab w:val="right" w:leader="dot" w:pos="9060"/>
        </w:tabs>
        <w:rPr>
          <w:rFonts w:eastAsiaTheme="minorEastAsia" w:cstheme="minorBidi"/>
          <w:i w:val="0"/>
          <w:iCs w:val="0"/>
          <w:noProof/>
          <w:sz w:val="22"/>
          <w:szCs w:val="22"/>
          <w:lang w:val="en-NZ" w:eastAsia="en-NZ" w:bidi="ar-SA"/>
        </w:rPr>
      </w:pPr>
      <w:hyperlink w:anchor="_Toc506902872" w:history="1">
        <w:r w:rsidR="00266197" w:rsidRPr="00127692">
          <w:rPr>
            <w:rStyle w:val="Hyperlink"/>
            <w:noProof/>
          </w:rPr>
          <w:t>2.5.3</w:t>
        </w:r>
        <w:r w:rsidR="00266197">
          <w:rPr>
            <w:rFonts w:eastAsiaTheme="minorEastAsia" w:cstheme="minorBidi"/>
            <w:i w:val="0"/>
            <w:iCs w:val="0"/>
            <w:noProof/>
            <w:sz w:val="22"/>
            <w:szCs w:val="22"/>
            <w:lang w:val="en-NZ" w:eastAsia="en-NZ" w:bidi="ar-SA"/>
          </w:rPr>
          <w:tab/>
        </w:r>
        <w:r w:rsidR="00266197" w:rsidRPr="00127692">
          <w:rPr>
            <w:rStyle w:val="Hyperlink"/>
            <w:noProof/>
          </w:rPr>
          <w:t>Subsection 18(2) considerations</w:t>
        </w:r>
        <w:r w:rsidR="00266197">
          <w:rPr>
            <w:noProof/>
            <w:webHidden/>
          </w:rPr>
          <w:tab/>
        </w:r>
        <w:r w:rsidR="00266197">
          <w:rPr>
            <w:noProof/>
            <w:webHidden/>
          </w:rPr>
          <w:fldChar w:fldCharType="begin"/>
        </w:r>
        <w:r w:rsidR="00266197">
          <w:rPr>
            <w:noProof/>
            <w:webHidden/>
          </w:rPr>
          <w:instrText xml:space="preserve"> PAGEREF _Toc506902872 \h </w:instrText>
        </w:r>
        <w:r w:rsidR="00266197">
          <w:rPr>
            <w:noProof/>
            <w:webHidden/>
          </w:rPr>
        </w:r>
        <w:r w:rsidR="00266197">
          <w:rPr>
            <w:noProof/>
            <w:webHidden/>
          </w:rPr>
          <w:fldChar w:fldCharType="separate"/>
        </w:r>
        <w:r w:rsidR="00266197">
          <w:rPr>
            <w:noProof/>
            <w:webHidden/>
          </w:rPr>
          <w:t>15</w:t>
        </w:r>
        <w:r w:rsidR="00266197">
          <w:rPr>
            <w:noProof/>
            <w:webHidden/>
          </w:rPr>
          <w:fldChar w:fldCharType="end"/>
        </w:r>
      </w:hyperlink>
    </w:p>
    <w:p w14:paraId="1D4B1CC2" w14:textId="65B7AABE" w:rsidR="00266197" w:rsidRDefault="0085574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902873" w:history="1">
        <w:r w:rsidR="00266197" w:rsidRPr="00127692">
          <w:rPr>
            <w:rStyle w:val="Hyperlink"/>
            <w:noProof/>
          </w:rPr>
          <w:t>3</w:t>
        </w:r>
        <w:r w:rsidR="00266197">
          <w:rPr>
            <w:rFonts w:eastAsiaTheme="minorEastAsia" w:cstheme="minorBidi"/>
            <w:b w:val="0"/>
            <w:bCs w:val="0"/>
            <w:caps w:val="0"/>
            <w:noProof/>
            <w:sz w:val="22"/>
            <w:szCs w:val="22"/>
            <w:lang w:val="en-NZ" w:eastAsia="en-NZ" w:bidi="ar-SA"/>
          </w:rPr>
          <w:tab/>
        </w:r>
        <w:r w:rsidR="00266197" w:rsidRPr="00127692">
          <w:rPr>
            <w:rStyle w:val="Hyperlink"/>
            <w:noProof/>
          </w:rPr>
          <w:t>References</w:t>
        </w:r>
        <w:r w:rsidR="00266197">
          <w:rPr>
            <w:noProof/>
            <w:webHidden/>
          </w:rPr>
          <w:tab/>
        </w:r>
        <w:r w:rsidR="00266197">
          <w:rPr>
            <w:noProof/>
            <w:webHidden/>
          </w:rPr>
          <w:fldChar w:fldCharType="begin"/>
        </w:r>
        <w:r w:rsidR="00266197">
          <w:rPr>
            <w:noProof/>
            <w:webHidden/>
          </w:rPr>
          <w:instrText xml:space="preserve"> PAGEREF _Toc506902873 \h </w:instrText>
        </w:r>
        <w:r w:rsidR="00266197">
          <w:rPr>
            <w:noProof/>
            <w:webHidden/>
          </w:rPr>
        </w:r>
        <w:r w:rsidR="00266197">
          <w:rPr>
            <w:noProof/>
            <w:webHidden/>
          </w:rPr>
          <w:fldChar w:fldCharType="separate"/>
        </w:r>
        <w:r w:rsidR="00266197">
          <w:rPr>
            <w:noProof/>
            <w:webHidden/>
          </w:rPr>
          <w:t>16</w:t>
        </w:r>
        <w:r w:rsidR="00266197">
          <w:rPr>
            <w:noProof/>
            <w:webHidden/>
          </w:rPr>
          <w:fldChar w:fldCharType="end"/>
        </w:r>
      </w:hyperlink>
    </w:p>
    <w:p w14:paraId="659B043C" w14:textId="1BBB93A3" w:rsidR="00266197" w:rsidRDefault="0085574E">
      <w:pPr>
        <w:pStyle w:val="TOC2"/>
        <w:tabs>
          <w:tab w:val="right" w:leader="dot" w:pos="9060"/>
        </w:tabs>
        <w:rPr>
          <w:rFonts w:eastAsiaTheme="minorEastAsia" w:cstheme="minorBidi"/>
          <w:smallCaps w:val="0"/>
          <w:noProof/>
          <w:sz w:val="22"/>
          <w:szCs w:val="22"/>
          <w:lang w:val="en-NZ" w:eastAsia="en-NZ" w:bidi="ar-SA"/>
        </w:rPr>
      </w:pPr>
      <w:hyperlink w:anchor="_Toc506902874" w:history="1">
        <w:r w:rsidR="00266197" w:rsidRPr="00127692">
          <w:rPr>
            <w:rStyle w:val="Hyperlink"/>
            <w:noProof/>
          </w:rPr>
          <w:t xml:space="preserve">Attachment A – Draft variation to the </w:t>
        </w:r>
        <w:r w:rsidR="00266197" w:rsidRPr="00127692">
          <w:rPr>
            <w:rStyle w:val="Hyperlink"/>
            <w:i/>
            <w:noProof/>
          </w:rPr>
          <w:t>Australia New Zealand Food Standards Code</w:t>
        </w:r>
        <w:r w:rsidR="00266197">
          <w:rPr>
            <w:noProof/>
            <w:webHidden/>
          </w:rPr>
          <w:tab/>
        </w:r>
        <w:r w:rsidR="00266197">
          <w:rPr>
            <w:noProof/>
            <w:webHidden/>
          </w:rPr>
          <w:fldChar w:fldCharType="begin"/>
        </w:r>
        <w:r w:rsidR="00266197">
          <w:rPr>
            <w:noProof/>
            <w:webHidden/>
          </w:rPr>
          <w:instrText xml:space="preserve"> PAGEREF _Toc506902874 \h </w:instrText>
        </w:r>
        <w:r w:rsidR="00266197">
          <w:rPr>
            <w:noProof/>
            <w:webHidden/>
          </w:rPr>
        </w:r>
        <w:r w:rsidR="00266197">
          <w:rPr>
            <w:noProof/>
            <w:webHidden/>
          </w:rPr>
          <w:fldChar w:fldCharType="separate"/>
        </w:r>
        <w:r w:rsidR="00266197">
          <w:rPr>
            <w:noProof/>
            <w:webHidden/>
          </w:rPr>
          <w:t>18</w:t>
        </w:r>
        <w:r w:rsidR="00266197">
          <w:rPr>
            <w:noProof/>
            <w:webHidden/>
          </w:rPr>
          <w:fldChar w:fldCharType="end"/>
        </w:r>
      </w:hyperlink>
    </w:p>
    <w:p w14:paraId="06FE4FC3" w14:textId="6ED07595" w:rsidR="00266197" w:rsidRDefault="0085574E">
      <w:pPr>
        <w:pStyle w:val="TOC2"/>
        <w:tabs>
          <w:tab w:val="right" w:leader="dot" w:pos="9060"/>
        </w:tabs>
        <w:rPr>
          <w:rFonts w:eastAsiaTheme="minorEastAsia" w:cstheme="minorBidi"/>
          <w:smallCaps w:val="0"/>
          <w:noProof/>
          <w:sz w:val="22"/>
          <w:szCs w:val="22"/>
          <w:lang w:val="en-NZ" w:eastAsia="en-NZ" w:bidi="ar-SA"/>
        </w:rPr>
      </w:pPr>
      <w:hyperlink w:anchor="_Toc506902875" w:history="1">
        <w:r w:rsidR="00266197" w:rsidRPr="00127692">
          <w:rPr>
            <w:rStyle w:val="Hyperlink"/>
            <w:noProof/>
          </w:rPr>
          <w:t>Attachment B – Draft Explanatory Statement</w:t>
        </w:r>
        <w:r w:rsidR="00266197">
          <w:rPr>
            <w:noProof/>
            <w:webHidden/>
          </w:rPr>
          <w:tab/>
        </w:r>
        <w:r w:rsidR="00266197">
          <w:rPr>
            <w:noProof/>
            <w:webHidden/>
          </w:rPr>
          <w:fldChar w:fldCharType="begin"/>
        </w:r>
        <w:r w:rsidR="00266197">
          <w:rPr>
            <w:noProof/>
            <w:webHidden/>
          </w:rPr>
          <w:instrText xml:space="preserve"> PAGEREF _Toc506902875 \h </w:instrText>
        </w:r>
        <w:r w:rsidR="00266197">
          <w:rPr>
            <w:noProof/>
            <w:webHidden/>
          </w:rPr>
        </w:r>
        <w:r w:rsidR="00266197">
          <w:rPr>
            <w:noProof/>
            <w:webHidden/>
          </w:rPr>
          <w:fldChar w:fldCharType="separate"/>
        </w:r>
        <w:r w:rsidR="00266197">
          <w:rPr>
            <w:noProof/>
            <w:webHidden/>
          </w:rPr>
          <w:t>20</w:t>
        </w:r>
        <w:r w:rsidR="00266197">
          <w:rPr>
            <w:noProof/>
            <w:webHidden/>
          </w:rPr>
          <w:fldChar w:fldCharType="end"/>
        </w:r>
      </w:hyperlink>
    </w:p>
    <w:p w14:paraId="40E072B7" w14:textId="53FFCEEB" w:rsidR="0012388D" w:rsidRDefault="00B55714" w:rsidP="00C91C02">
      <w:r w:rsidRPr="00240EA1">
        <w:rPr>
          <w:rFonts w:cs="Arial"/>
          <w:szCs w:val="22"/>
        </w:rPr>
        <w:fldChar w:fldCharType="end"/>
      </w:r>
    </w:p>
    <w:p w14:paraId="7D9DA60E" w14:textId="77777777" w:rsidR="007F7BF7" w:rsidRDefault="007F7BF7" w:rsidP="00CA5734"/>
    <w:p w14:paraId="23F8542F" w14:textId="33D518CA"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08C25489" w14:textId="77777777" w:rsidR="00A671E6" w:rsidRPr="0089264A" w:rsidRDefault="00A671E6" w:rsidP="00A671E6">
      <w:pPr>
        <w:rPr>
          <w:szCs w:val="22"/>
        </w:rPr>
      </w:pPr>
    </w:p>
    <w:p w14:paraId="7FE0C5FB" w14:textId="77C801E0" w:rsidR="00C44FE9" w:rsidRDefault="007A53BF" w:rsidP="007A53BF">
      <w:pPr>
        <w:rPr>
          <w:szCs w:val="22"/>
        </w:rPr>
      </w:pPr>
      <w:r w:rsidRPr="0089264A">
        <w:rPr>
          <w:szCs w:val="22"/>
        </w:rPr>
        <w:t xml:space="preserve">The </w:t>
      </w:r>
      <w:hyperlink r:id="rId15" w:history="1">
        <w:r w:rsidR="00F13FC6">
          <w:rPr>
            <w:rStyle w:val="Hyperlink"/>
            <w:szCs w:val="22"/>
          </w:rPr>
          <w:t>following document</w:t>
        </w:r>
      </w:hyperlink>
      <w:r w:rsidR="002D129A">
        <w:rPr>
          <w:rStyle w:val="FootnoteReference"/>
          <w:color w:val="3333FF"/>
          <w:szCs w:val="22"/>
          <w:u w:val="single"/>
        </w:rPr>
        <w:footnoteReference w:id="2"/>
      </w:r>
      <w:r w:rsidRPr="0089264A">
        <w:rPr>
          <w:szCs w:val="22"/>
        </w:rPr>
        <w:t xml:space="preserve"> </w:t>
      </w:r>
      <w:r>
        <w:rPr>
          <w:szCs w:val="22"/>
        </w:rPr>
        <w:t xml:space="preserve">which informed the assessment of this </w:t>
      </w:r>
      <w:r w:rsidR="00450DEC" w:rsidRPr="00450DEC">
        <w:rPr>
          <w:szCs w:val="22"/>
        </w:rPr>
        <w:t>Application</w:t>
      </w:r>
      <w:r w:rsidRPr="00450DEC">
        <w:rPr>
          <w:szCs w:val="22"/>
        </w:rPr>
        <w:t xml:space="preserve"> </w:t>
      </w:r>
      <w:r w:rsidR="002D129A">
        <w:rPr>
          <w:szCs w:val="22"/>
        </w:rPr>
        <w:t>is</w:t>
      </w:r>
      <w:r w:rsidR="002D129A" w:rsidRPr="0089264A">
        <w:rPr>
          <w:szCs w:val="22"/>
        </w:rPr>
        <w:t xml:space="preserve"> </w:t>
      </w:r>
      <w:r w:rsidRPr="0089264A">
        <w:rPr>
          <w:szCs w:val="22"/>
        </w:rPr>
        <w:t xml:space="preserve">available on the FSANZ </w:t>
      </w:r>
      <w:r w:rsidRPr="00D51698">
        <w:rPr>
          <w:szCs w:val="22"/>
        </w:rPr>
        <w:t>website</w:t>
      </w:r>
      <w:r w:rsidR="00FF3E26" w:rsidRPr="00D51698">
        <w:rPr>
          <w:szCs w:val="22"/>
        </w:rPr>
        <w:t>:</w:t>
      </w:r>
    </w:p>
    <w:p w14:paraId="01A0C1D4" w14:textId="10F3BE49" w:rsidR="00C44FE9" w:rsidRDefault="00C44FE9" w:rsidP="007A53BF">
      <w:pPr>
        <w:rPr>
          <w:szCs w:val="22"/>
        </w:rPr>
      </w:pPr>
    </w:p>
    <w:p w14:paraId="1EDEEDC9" w14:textId="012B07D6" w:rsidR="00640C50" w:rsidRDefault="00F13FC6" w:rsidP="007A53BF">
      <w:pPr>
        <w:rPr>
          <w:szCs w:val="22"/>
        </w:rPr>
        <w:sectPr w:rsidR="00640C50" w:rsidSect="002D1CF2">
          <w:headerReference w:type="default" r:id="rId16"/>
          <w:footerReference w:type="default" r:id="rId17"/>
          <w:pgSz w:w="11906" w:h="16838" w:code="9"/>
          <w:pgMar w:top="1080" w:right="1418" w:bottom="1418" w:left="1418" w:header="709" w:footer="709" w:gutter="0"/>
          <w:pgNumType w:start="1"/>
          <w:cols w:space="708"/>
          <w:docGrid w:linePitch="360"/>
        </w:sectPr>
      </w:pPr>
      <w:r w:rsidRPr="00F13FC6">
        <w:rPr>
          <w:szCs w:val="22"/>
        </w:rPr>
        <w:t>SD1</w:t>
      </w:r>
      <w:r w:rsidRPr="00F13FC6">
        <w:rPr>
          <w:szCs w:val="22"/>
        </w:rPr>
        <w:tab/>
        <w:t>Risk and technical assessment report</w:t>
      </w:r>
    </w:p>
    <w:p w14:paraId="0AC7D717" w14:textId="37C18D03" w:rsidR="007A53BF" w:rsidRPr="007A53BF" w:rsidRDefault="007A53BF" w:rsidP="002D129A">
      <w:pPr>
        <w:pStyle w:val="Heading1"/>
        <w:ind w:left="0" w:firstLine="0"/>
      </w:pPr>
      <w:bookmarkStart w:id="1" w:name="_Toc286391001"/>
      <w:bookmarkStart w:id="2" w:name="_Toc300933414"/>
      <w:bookmarkStart w:id="3" w:name="_Toc370223463"/>
      <w:bookmarkStart w:id="4" w:name="_Toc506902849"/>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40F3E013" w14:textId="666D4630" w:rsidR="00EE3921" w:rsidRPr="00CB5107" w:rsidRDefault="00EE3921" w:rsidP="00EE3921">
      <w:pPr>
        <w:rPr>
          <w:lang w:bidi="ar-SA"/>
        </w:rPr>
      </w:pPr>
      <w:r w:rsidRPr="00CB5107">
        <w:rPr>
          <w:lang w:bidi="ar-SA"/>
        </w:rPr>
        <w:t xml:space="preserve">Amano Enzyme Inc. (Amano) </w:t>
      </w:r>
      <w:r w:rsidRPr="00590981">
        <w:t xml:space="preserve">submitted an Application seeking permission </w:t>
      </w:r>
      <w:r w:rsidR="002D129A">
        <w:t xml:space="preserve">for </w:t>
      </w:r>
      <w:r w:rsidR="002D129A" w:rsidRPr="002D129A">
        <w:t xml:space="preserve">the enzyme </w:t>
      </w:r>
      <w:r w:rsidR="002D129A" w:rsidRPr="00CB5107">
        <w:rPr>
          <w:lang w:bidi="ar-SA"/>
        </w:rPr>
        <w:t xml:space="preserve">protein glutaminase </w:t>
      </w:r>
      <w:r w:rsidR="002D129A">
        <w:rPr>
          <w:lang w:bidi="ar-SA"/>
        </w:rPr>
        <w:t>sourced</w:t>
      </w:r>
      <w:r w:rsidR="002D129A" w:rsidRPr="00CB5107">
        <w:rPr>
          <w:lang w:bidi="ar-SA"/>
        </w:rPr>
        <w:t xml:space="preserve"> </w:t>
      </w:r>
      <w:r w:rsidR="002D129A">
        <w:rPr>
          <w:lang w:bidi="ar-SA"/>
        </w:rPr>
        <w:t xml:space="preserve">from </w:t>
      </w:r>
      <w:r w:rsidR="002D129A" w:rsidRPr="00CB5107">
        <w:rPr>
          <w:i/>
          <w:lang w:bidi="ar-SA"/>
        </w:rPr>
        <w:t>Chryseobacterium proteolyticum</w:t>
      </w:r>
      <w:r w:rsidR="002D129A">
        <w:rPr>
          <w:i/>
          <w:lang w:bidi="ar-SA"/>
        </w:rPr>
        <w:t xml:space="preserve"> </w:t>
      </w:r>
      <w:r w:rsidR="002D129A">
        <w:rPr>
          <w:lang w:bidi="ar-SA"/>
        </w:rPr>
        <w:t>strain AE-PG</w:t>
      </w:r>
      <w:r w:rsidR="002D129A">
        <w:rPr>
          <w:i/>
          <w:lang w:bidi="ar-SA"/>
        </w:rPr>
        <w:t>,</w:t>
      </w:r>
      <w:r w:rsidR="00821F99">
        <w:rPr>
          <w:i/>
          <w:lang w:bidi="ar-SA"/>
        </w:rPr>
        <w:t xml:space="preserve"> </w:t>
      </w:r>
      <w:r w:rsidR="002D129A" w:rsidRPr="002D129A">
        <w:t xml:space="preserve">to be added to the list of permitted processing aids in the </w:t>
      </w:r>
      <w:r w:rsidR="002D129A" w:rsidRPr="002D129A">
        <w:rPr>
          <w:i/>
        </w:rPr>
        <w:t xml:space="preserve">Australia New Zealand Food Standards Code </w:t>
      </w:r>
      <w:r w:rsidR="002D129A" w:rsidRPr="002D129A">
        <w:t>(the Code).</w:t>
      </w:r>
    </w:p>
    <w:p w14:paraId="66E80BB2" w14:textId="77777777" w:rsidR="00EE3921" w:rsidRPr="00CB5107" w:rsidRDefault="00EE3921" w:rsidP="00EE3921">
      <w:pPr>
        <w:rPr>
          <w:lang w:bidi="ar-SA"/>
        </w:rPr>
      </w:pPr>
    </w:p>
    <w:p w14:paraId="6F15A0D9" w14:textId="43BB895E" w:rsidR="00EE3921" w:rsidRDefault="00EE3921" w:rsidP="00EE3921">
      <w:pPr>
        <w:rPr>
          <w:lang w:bidi="ar-SA"/>
        </w:rPr>
      </w:pPr>
      <w:r w:rsidRPr="00CB5107">
        <w:rPr>
          <w:lang w:bidi="ar-SA"/>
        </w:rPr>
        <w:t>Protein glutaminase enhanc</w:t>
      </w:r>
      <w:r>
        <w:rPr>
          <w:lang w:bidi="ar-SA"/>
        </w:rPr>
        <w:t>es</w:t>
      </w:r>
      <w:r w:rsidRPr="00CB5107">
        <w:rPr>
          <w:lang w:bidi="ar-SA"/>
        </w:rPr>
        <w:t xml:space="preserve"> protein solubility </w:t>
      </w:r>
      <w:r w:rsidR="000454E0">
        <w:rPr>
          <w:lang w:bidi="ar-SA"/>
        </w:rPr>
        <w:t xml:space="preserve">in the manufacture </w:t>
      </w:r>
      <w:r w:rsidR="007764E6" w:rsidRPr="007764E6">
        <w:rPr>
          <w:lang w:bidi="ar-SA"/>
        </w:rPr>
        <w:t xml:space="preserve">and/or processing </w:t>
      </w:r>
      <w:r w:rsidR="000454E0">
        <w:rPr>
          <w:lang w:bidi="ar-SA"/>
        </w:rPr>
        <w:t xml:space="preserve">of </w:t>
      </w:r>
      <w:r w:rsidR="000454E0" w:rsidRPr="000454E0">
        <w:rPr>
          <w:bCs/>
          <w:lang w:val="en-AU" w:bidi="ar-SA"/>
        </w:rPr>
        <w:t>baked products</w:t>
      </w:r>
      <w:r w:rsidR="00A36712">
        <w:rPr>
          <w:bCs/>
          <w:lang w:val="en-AU" w:bidi="ar-SA"/>
        </w:rPr>
        <w:t xml:space="preserve"> and</w:t>
      </w:r>
      <w:r w:rsidR="000454E0" w:rsidRPr="000454E0">
        <w:rPr>
          <w:bCs/>
          <w:lang w:val="en-AU" w:bidi="ar-SA"/>
        </w:rPr>
        <w:t xml:space="preserve"> pasta</w:t>
      </w:r>
      <w:r w:rsidR="00A36712">
        <w:rPr>
          <w:bCs/>
          <w:lang w:val="en-AU" w:bidi="ar-SA"/>
        </w:rPr>
        <w:t>/</w:t>
      </w:r>
      <w:r w:rsidR="000454E0" w:rsidRPr="000454E0">
        <w:rPr>
          <w:bCs/>
          <w:lang w:val="en-AU" w:bidi="ar-SA"/>
        </w:rPr>
        <w:t>noodle</w:t>
      </w:r>
      <w:r w:rsidR="00A36712">
        <w:rPr>
          <w:bCs/>
          <w:lang w:val="en-AU" w:bidi="ar-SA"/>
        </w:rPr>
        <w:t xml:space="preserve"> making</w:t>
      </w:r>
      <w:r w:rsidR="000454E0" w:rsidRPr="000454E0">
        <w:rPr>
          <w:bCs/>
          <w:lang w:val="en-AU" w:bidi="ar-SA"/>
        </w:rPr>
        <w:t xml:space="preserve">, milk and dairy </w:t>
      </w:r>
      <w:r w:rsidR="00A36712" w:rsidRPr="000454E0">
        <w:rPr>
          <w:bCs/>
          <w:lang w:val="en-AU" w:bidi="ar-SA"/>
        </w:rPr>
        <w:t>pro</w:t>
      </w:r>
      <w:r w:rsidR="00A36712">
        <w:rPr>
          <w:bCs/>
          <w:lang w:val="en-AU" w:bidi="ar-SA"/>
        </w:rPr>
        <w:t>cessing</w:t>
      </w:r>
      <w:r w:rsidR="000454E0" w:rsidRPr="000454E0">
        <w:rPr>
          <w:bCs/>
          <w:lang w:val="en-AU" w:bidi="ar-SA"/>
        </w:rPr>
        <w:t>, meat</w:t>
      </w:r>
      <w:r w:rsidR="00A36712">
        <w:rPr>
          <w:bCs/>
          <w:lang w:val="en-AU" w:bidi="ar-SA"/>
        </w:rPr>
        <w:t xml:space="preserve"> and</w:t>
      </w:r>
      <w:r w:rsidR="000454E0" w:rsidRPr="000454E0">
        <w:rPr>
          <w:bCs/>
          <w:lang w:val="en-AU" w:bidi="ar-SA"/>
        </w:rPr>
        <w:t xml:space="preserve"> fish</w:t>
      </w:r>
      <w:r w:rsidR="00A36712">
        <w:rPr>
          <w:bCs/>
          <w:lang w:val="en-AU" w:bidi="ar-SA"/>
        </w:rPr>
        <w:t xml:space="preserve"> processing</w:t>
      </w:r>
      <w:r w:rsidR="000454E0" w:rsidRPr="000454E0">
        <w:rPr>
          <w:bCs/>
          <w:lang w:val="en-AU" w:bidi="ar-SA"/>
        </w:rPr>
        <w:t>, grain</w:t>
      </w:r>
      <w:r w:rsidR="00A36712">
        <w:rPr>
          <w:bCs/>
          <w:lang w:val="en-AU" w:bidi="ar-SA"/>
        </w:rPr>
        <w:t xml:space="preserve"> processing</w:t>
      </w:r>
      <w:r w:rsidR="000454E0" w:rsidRPr="000454E0">
        <w:rPr>
          <w:bCs/>
          <w:lang w:val="en-AU" w:bidi="ar-SA"/>
        </w:rPr>
        <w:t xml:space="preserve">, yeast products and egg based products. </w:t>
      </w:r>
      <w:r w:rsidRPr="00CB5107">
        <w:rPr>
          <w:lang w:bidi="ar-SA"/>
        </w:rPr>
        <w:t xml:space="preserve">The </w:t>
      </w:r>
      <w:r>
        <w:rPr>
          <w:lang w:bidi="ar-SA"/>
        </w:rPr>
        <w:t>technological purpose</w:t>
      </w:r>
      <w:r w:rsidRPr="00CB5107">
        <w:rPr>
          <w:lang w:bidi="ar-SA"/>
        </w:rPr>
        <w:t xml:space="preserve"> is </w:t>
      </w:r>
      <w:r>
        <w:rPr>
          <w:lang w:bidi="ar-SA"/>
        </w:rPr>
        <w:t>to</w:t>
      </w:r>
      <w:r w:rsidRPr="00CB5107">
        <w:rPr>
          <w:lang w:bidi="ar-SA"/>
        </w:rPr>
        <w:t xml:space="preserve"> improve emulsification, foam stabilisation and gelling</w:t>
      </w:r>
      <w:r>
        <w:rPr>
          <w:lang w:bidi="ar-SA"/>
        </w:rPr>
        <w:t xml:space="preserve"> in these proteinaceous foods</w:t>
      </w:r>
      <w:r w:rsidRPr="00CB5107">
        <w:rPr>
          <w:lang w:bidi="ar-SA"/>
        </w:rPr>
        <w:t>. It also decrease</w:t>
      </w:r>
      <w:r>
        <w:rPr>
          <w:lang w:bidi="ar-SA"/>
        </w:rPr>
        <w:t>s</w:t>
      </w:r>
      <w:r w:rsidRPr="00CB5107">
        <w:rPr>
          <w:lang w:bidi="ar-SA"/>
        </w:rPr>
        <w:t xml:space="preserve"> </w:t>
      </w:r>
      <w:r w:rsidR="00670614">
        <w:rPr>
          <w:lang w:bidi="ar-SA"/>
        </w:rPr>
        <w:t>the formation of</w:t>
      </w:r>
      <w:r w:rsidRPr="00CB5107">
        <w:rPr>
          <w:lang w:bidi="ar-SA"/>
        </w:rPr>
        <w:t xml:space="preserve"> </w:t>
      </w:r>
      <w:r>
        <w:rPr>
          <w:lang w:bidi="ar-SA"/>
        </w:rPr>
        <w:t>‘</w:t>
      </w:r>
      <w:r w:rsidRPr="00CB5107">
        <w:rPr>
          <w:lang w:bidi="ar-SA"/>
        </w:rPr>
        <w:t>off flavour</w:t>
      </w:r>
      <w:r w:rsidR="00670614">
        <w:rPr>
          <w:lang w:bidi="ar-SA"/>
        </w:rPr>
        <w:t>s</w:t>
      </w:r>
      <w:r>
        <w:rPr>
          <w:lang w:bidi="ar-SA"/>
        </w:rPr>
        <w:t>’</w:t>
      </w:r>
      <w:r w:rsidRPr="00CB5107">
        <w:rPr>
          <w:lang w:bidi="ar-SA"/>
        </w:rPr>
        <w:t xml:space="preserve"> associated with flavour-protein interactions</w:t>
      </w:r>
      <w:r w:rsidR="00670614">
        <w:rPr>
          <w:lang w:bidi="ar-SA"/>
        </w:rPr>
        <w:t xml:space="preserve"> compared to alternative technologies such as thermal or chemical modification methods</w:t>
      </w:r>
      <w:r w:rsidRPr="00CB5107">
        <w:rPr>
          <w:lang w:bidi="ar-SA"/>
        </w:rPr>
        <w:t xml:space="preserve">. </w:t>
      </w:r>
    </w:p>
    <w:p w14:paraId="1B09D901" w14:textId="1E315C3F" w:rsidR="00EE3921" w:rsidRDefault="00EE3921" w:rsidP="00EE3921">
      <w:pPr>
        <w:rPr>
          <w:lang w:bidi="ar-SA"/>
        </w:rPr>
      </w:pPr>
    </w:p>
    <w:p w14:paraId="63D6AF96" w14:textId="2243F237" w:rsidR="00EE3921" w:rsidRDefault="00EE3921" w:rsidP="00EE3921">
      <w:pPr>
        <w:rPr>
          <w:lang w:bidi="ar-SA"/>
        </w:rPr>
      </w:pPr>
      <w:r>
        <w:rPr>
          <w:lang w:bidi="ar-SA"/>
        </w:rPr>
        <w:t>The</w:t>
      </w:r>
      <w:r w:rsidRPr="00E72D43">
        <w:rPr>
          <w:lang w:bidi="ar-SA"/>
        </w:rPr>
        <w:t xml:space="preserve"> safety data submitted </w:t>
      </w:r>
      <w:r>
        <w:rPr>
          <w:lang w:bidi="ar-SA"/>
        </w:rPr>
        <w:t xml:space="preserve">by Amano </w:t>
      </w:r>
      <w:r w:rsidRPr="00E72D43">
        <w:rPr>
          <w:lang w:bidi="ar-SA"/>
        </w:rPr>
        <w:t xml:space="preserve">was </w:t>
      </w:r>
      <w:r>
        <w:rPr>
          <w:lang w:bidi="ar-SA"/>
        </w:rPr>
        <w:t xml:space="preserve">only </w:t>
      </w:r>
      <w:r w:rsidRPr="00E72D43">
        <w:rPr>
          <w:lang w:bidi="ar-SA"/>
        </w:rPr>
        <w:t xml:space="preserve">for </w:t>
      </w:r>
      <w:r w:rsidRPr="00CB5107">
        <w:rPr>
          <w:lang w:bidi="ar-SA"/>
        </w:rPr>
        <w:t xml:space="preserve">protein glutaminase </w:t>
      </w:r>
      <w:r>
        <w:rPr>
          <w:lang w:bidi="ar-SA"/>
        </w:rPr>
        <w:t>sourced</w:t>
      </w:r>
      <w:r w:rsidRPr="00CB5107">
        <w:rPr>
          <w:lang w:bidi="ar-SA"/>
        </w:rPr>
        <w:t xml:space="preserve"> </w:t>
      </w:r>
      <w:r>
        <w:rPr>
          <w:lang w:bidi="ar-SA"/>
        </w:rPr>
        <w:t>from one particular non</w:t>
      </w:r>
      <w:r w:rsidR="00A33269">
        <w:rPr>
          <w:lang w:bidi="ar-SA"/>
        </w:rPr>
        <w:t>-</w:t>
      </w:r>
      <w:r w:rsidR="00FB425D">
        <w:rPr>
          <w:lang w:bidi="ar-SA"/>
        </w:rPr>
        <w:t xml:space="preserve">genetically modified </w:t>
      </w:r>
      <w:r>
        <w:rPr>
          <w:lang w:bidi="ar-SA"/>
        </w:rPr>
        <w:t xml:space="preserve">strain of </w:t>
      </w:r>
      <w:r w:rsidR="00C77D84">
        <w:rPr>
          <w:i/>
          <w:lang w:bidi="ar-SA"/>
        </w:rPr>
        <w:t xml:space="preserve">C. proteolyticum </w:t>
      </w:r>
      <w:r w:rsidRPr="00E04B34">
        <w:rPr>
          <w:lang w:bidi="ar-SA"/>
        </w:rPr>
        <w:t xml:space="preserve">(i.e. </w:t>
      </w:r>
      <w:r w:rsidR="00C77D84">
        <w:rPr>
          <w:i/>
          <w:lang w:bidi="ar-SA"/>
        </w:rPr>
        <w:t>C</w:t>
      </w:r>
      <w:r w:rsidR="00F87AF1" w:rsidRPr="00F87AF1">
        <w:rPr>
          <w:i/>
          <w:lang w:bidi="ar-SA"/>
        </w:rPr>
        <w:t>hryseobacterium</w:t>
      </w:r>
      <w:r w:rsidR="00C77D84">
        <w:rPr>
          <w:i/>
          <w:lang w:bidi="ar-SA"/>
        </w:rPr>
        <w:t xml:space="preserve"> proteolyticum </w:t>
      </w:r>
      <w:r w:rsidRPr="00E04B34">
        <w:rPr>
          <w:lang w:bidi="ar-SA"/>
        </w:rPr>
        <w:t>strain AE-PG).</w:t>
      </w:r>
      <w:r w:rsidRPr="00590981">
        <w:t xml:space="preserve"> </w:t>
      </w:r>
      <w:r w:rsidRPr="00E04B34">
        <w:rPr>
          <w:lang w:bidi="ar-SA"/>
        </w:rPr>
        <w:t>FSANZ</w:t>
      </w:r>
      <w:r>
        <w:rPr>
          <w:lang w:bidi="ar-SA"/>
        </w:rPr>
        <w:t xml:space="preserve"> therefore only assessed</w:t>
      </w:r>
      <w:r w:rsidRPr="00E04B34">
        <w:rPr>
          <w:lang w:bidi="ar-SA"/>
        </w:rPr>
        <w:t xml:space="preserve"> </w:t>
      </w:r>
      <w:r w:rsidRPr="00CB5107">
        <w:rPr>
          <w:lang w:bidi="ar-SA"/>
        </w:rPr>
        <w:t xml:space="preserve">protein glutaminase </w:t>
      </w:r>
      <w:r>
        <w:rPr>
          <w:lang w:bidi="ar-SA"/>
        </w:rPr>
        <w:t>sourced</w:t>
      </w:r>
      <w:r w:rsidRPr="00CB5107">
        <w:rPr>
          <w:lang w:bidi="ar-SA"/>
        </w:rPr>
        <w:t xml:space="preserve"> </w:t>
      </w:r>
      <w:r>
        <w:rPr>
          <w:lang w:bidi="ar-SA"/>
        </w:rPr>
        <w:t>from</w:t>
      </w:r>
      <w:r w:rsidRPr="00924561">
        <w:rPr>
          <w:lang w:bidi="ar-SA"/>
        </w:rPr>
        <w:t xml:space="preserve"> </w:t>
      </w:r>
      <w:r>
        <w:rPr>
          <w:lang w:bidi="ar-SA"/>
        </w:rPr>
        <w:t xml:space="preserve">that </w:t>
      </w:r>
      <w:r w:rsidRPr="00E04B34">
        <w:rPr>
          <w:lang w:bidi="ar-SA"/>
        </w:rPr>
        <w:t>particular strain</w:t>
      </w:r>
      <w:r>
        <w:rPr>
          <w:i/>
          <w:lang w:bidi="ar-SA"/>
        </w:rPr>
        <w:t>.</w:t>
      </w:r>
    </w:p>
    <w:p w14:paraId="3E1AFE7C" w14:textId="77777777" w:rsidR="00EE3921" w:rsidRDefault="00EE3921" w:rsidP="00EE3921">
      <w:pPr>
        <w:rPr>
          <w:lang w:bidi="ar-SA"/>
        </w:rPr>
      </w:pPr>
    </w:p>
    <w:p w14:paraId="2CA1B197" w14:textId="2159A368" w:rsidR="00EE3921" w:rsidRDefault="00EE3921" w:rsidP="00EE3921">
      <w:pPr>
        <w:rPr>
          <w:rFonts w:cs="Arial"/>
        </w:rPr>
      </w:pPr>
      <w:r w:rsidRPr="00E44F61">
        <w:rPr>
          <w:rFonts w:cs="Arial"/>
        </w:rPr>
        <w:t xml:space="preserve">FSANZ </w:t>
      </w:r>
      <w:r w:rsidR="00A33269">
        <w:rPr>
          <w:rFonts w:cs="Arial"/>
        </w:rPr>
        <w:t xml:space="preserve">has </w:t>
      </w:r>
      <w:r w:rsidRPr="00E44F61">
        <w:rPr>
          <w:rFonts w:cs="Arial"/>
        </w:rPr>
        <w:t>conclude</w:t>
      </w:r>
      <w:r w:rsidR="00A33269">
        <w:rPr>
          <w:rFonts w:cs="Arial"/>
        </w:rPr>
        <w:t>d</w:t>
      </w:r>
      <w:r w:rsidRPr="00E44F61">
        <w:rPr>
          <w:rFonts w:cs="Arial"/>
        </w:rPr>
        <w:t xml:space="preserve"> there are no public health and safety issues associated with </w:t>
      </w:r>
      <w:r w:rsidR="00A33269">
        <w:rPr>
          <w:rFonts w:cs="Arial"/>
        </w:rPr>
        <w:t xml:space="preserve">using </w:t>
      </w:r>
      <w:r w:rsidRPr="00CB5107">
        <w:rPr>
          <w:lang w:bidi="ar-SA"/>
        </w:rPr>
        <w:t xml:space="preserve">protein glutaminase </w:t>
      </w:r>
      <w:r>
        <w:rPr>
          <w:lang w:bidi="ar-SA"/>
        </w:rPr>
        <w:t xml:space="preserve">sourced from </w:t>
      </w:r>
      <w:r w:rsidR="00C77D84">
        <w:rPr>
          <w:i/>
          <w:lang w:bidi="ar-SA"/>
        </w:rPr>
        <w:t xml:space="preserve">C. proteolyticum </w:t>
      </w:r>
      <w:r w:rsidRPr="00B347E3">
        <w:rPr>
          <w:lang w:bidi="ar-SA"/>
        </w:rPr>
        <w:t>strain AE-PG</w:t>
      </w:r>
      <w:r w:rsidR="00A33269">
        <w:rPr>
          <w:lang w:bidi="ar-SA"/>
        </w:rPr>
        <w:t xml:space="preserve"> as a processing aid</w:t>
      </w:r>
      <w:r>
        <w:rPr>
          <w:lang w:bidi="ar-SA"/>
        </w:rPr>
        <w:t>.</w:t>
      </w:r>
      <w:r w:rsidR="00AD31C1" w:rsidRPr="00AD31C1">
        <w:rPr>
          <w:lang w:bidi="ar-SA"/>
        </w:rPr>
        <w:t xml:space="preserve"> </w:t>
      </w:r>
      <w:r w:rsidR="00AD31C1">
        <w:rPr>
          <w:lang w:bidi="ar-SA"/>
        </w:rPr>
        <w:t>The</w:t>
      </w:r>
      <w:r w:rsidR="00AD31C1" w:rsidRPr="00CB5107">
        <w:rPr>
          <w:lang w:bidi="ar-SA"/>
        </w:rPr>
        <w:t xml:space="preserve"> enzyme </w:t>
      </w:r>
      <w:r w:rsidR="00AD31C1">
        <w:rPr>
          <w:lang w:bidi="ar-SA"/>
        </w:rPr>
        <w:t xml:space="preserve">also </w:t>
      </w:r>
      <w:r w:rsidR="00AD31C1" w:rsidRPr="00CB5107">
        <w:rPr>
          <w:lang w:bidi="ar-SA"/>
        </w:rPr>
        <w:t>complies with the internationally accepted Joint Expert Committee on Food Additives (JECFA) specifications for chemical and microbiological purity</w:t>
      </w:r>
      <w:r w:rsidR="00E475F8">
        <w:rPr>
          <w:lang w:bidi="ar-SA"/>
        </w:rPr>
        <w:t>.</w:t>
      </w:r>
    </w:p>
    <w:p w14:paraId="5226BFD4" w14:textId="77777777" w:rsidR="00EE3921" w:rsidRDefault="00EE3921" w:rsidP="00EE3921">
      <w:pPr>
        <w:rPr>
          <w:rFonts w:cs="Arial"/>
        </w:rPr>
      </w:pPr>
    </w:p>
    <w:p w14:paraId="4D11A038" w14:textId="0C8FD7DE" w:rsidR="000D077E" w:rsidRDefault="00EE3921" w:rsidP="002D129A">
      <w:pPr>
        <w:rPr>
          <w:lang w:bidi="ar-SA"/>
        </w:rPr>
      </w:pPr>
      <w:r w:rsidRPr="00CB5107">
        <w:rPr>
          <w:lang w:bidi="ar-SA"/>
        </w:rPr>
        <w:t xml:space="preserve">FSANZ </w:t>
      </w:r>
      <w:r w:rsidR="00921D5D">
        <w:rPr>
          <w:lang w:bidi="ar-SA"/>
        </w:rPr>
        <w:t>was</w:t>
      </w:r>
      <w:r>
        <w:rPr>
          <w:lang w:bidi="ar-SA"/>
        </w:rPr>
        <w:t xml:space="preserve"> satisfied</w:t>
      </w:r>
      <w:r w:rsidRPr="00CB5107">
        <w:rPr>
          <w:lang w:bidi="ar-SA"/>
        </w:rPr>
        <w:t xml:space="preserve"> that </w:t>
      </w:r>
      <w:r w:rsidR="00A33269">
        <w:rPr>
          <w:lang w:bidi="ar-SA"/>
        </w:rPr>
        <w:t xml:space="preserve">the </w:t>
      </w:r>
      <w:r>
        <w:rPr>
          <w:lang w:bidi="ar-SA"/>
        </w:rPr>
        <w:t>enzyme’s</w:t>
      </w:r>
      <w:r w:rsidRPr="00CB5107">
        <w:rPr>
          <w:lang w:bidi="ar-SA"/>
        </w:rPr>
        <w:t xml:space="preserve"> use </w:t>
      </w:r>
      <w:r>
        <w:rPr>
          <w:lang w:bidi="ar-SA"/>
        </w:rPr>
        <w:t xml:space="preserve">as a processing aid in the manner specified in the Application </w:t>
      </w:r>
      <w:r w:rsidR="00921D5D">
        <w:rPr>
          <w:lang w:bidi="ar-SA"/>
        </w:rPr>
        <w:t>was</w:t>
      </w:r>
      <w:r w:rsidRPr="00CB5107">
        <w:rPr>
          <w:lang w:bidi="ar-SA"/>
        </w:rPr>
        <w:t xml:space="preserve"> technologically justified</w:t>
      </w:r>
      <w:r>
        <w:rPr>
          <w:lang w:bidi="ar-SA"/>
        </w:rPr>
        <w:t xml:space="preserve">. </w:t>
      </w:r>
      <w:r w:rsidRPr="00CB5107">
        <w:rPr>
          <w:lang w:bidi="ar-SA"/>
        </w:rPr>
        <w:t>FSANZ also conclude</w:t>
      </w:r>
      <w:r w:rsidR="00921D5D">
        <w:rPr>
          <w:lang w:bidi="ar-SA"/>
        </w:rPr>
        <w:t>d</w:t>
      </w:r>
      <w:r w:rsidRPr="00CB5107">
        <w:rPr>
          <w:lang w:bidi="ar-SA"/>
        </w:rPr>
        <w:t xml:space="preserve"> that, as the enzyme performs its technological purpose during processing and manufacture of food only, </w:t>
      </w:r>
      <w:r>
        <w:rPr>
          <w:lang w:bidi="ar-SA"/>
        </w:rPr>
        <w:t xml:space="preserve">it </w:t>
      </w:r>
      <w:r w:rsidRPr="00CB5107">
        <w:rPr>
          <w:lang w:bidi="ar-SA"/>
        </w:rPr>
        <w:t xml:space="preserve">is appropriately categorised as a processing aid rather than a food additive. </w:t>
      </w:r>
      <w:r w:rsidR="002D129A" w:rsidRPr="00E44F61">
        <w:t xml:space="preserve">Enzymes used </w:t>
      </w:r>
      <w:r w:rsidR="00A33269">
        <w:t xml:space="preserve">to produce and manufacture </w:t>
      </w:r>
      <w:r w:rsidR="002D129A" w:rsidRPr="00E44F61">
        <w:t xml:space="preserve">food are considered processing aids and </w:t>
      </w:r>
      <w:r w:rsidR="006025AE">
        <w:t>the relevant permissions are listed in</w:t>
      </w:r>
      <w:r w:rsidR="002D129A" w:rsidRPr="00E44F61">
        <w:t xml:space="preserve"> Schedule 18 of the </w:t>
      </w:r>
      <w:r w:rsidR="002D129A" w:rsidRPr="00E44F61">
        <w:rPr>
          <w:i/>
        </w:rPr>
        <w:t>Australia New Zealand Food Standards Code</w:t>
      </w:r>
      <w:r w:rsidR="002D129A" w:rsidRPr="00E44F61">
        <w:t xml:space="preserve"> (the Code). </w:t>
      </w:r>
      <w:r w:rsidR="006025AE">
        <w:t>E</w:t>
      </w:r>
      <w:r w:rsidR="002D129A" w:rsidRPr="00E44F61">
        <w:t xml:space="preserve">nzymes of microbial origin </w:t>
      </w:r>
      <w:r w:rsidR="006025AE">
        <w:t xml:space="preserve">permitted to be </w:t>
      </w:r>
      <w:r w:rsidR="00A10DAD">
        <w:t>us</w:t>
      </w:r>
      <w:r w:rsidR="006025AE">
        <w:t xml:space="preserve">ed as processing aids </w:t>
      </w:r>
      <w:r w:rsidR="002D129A" w:rsidRPr="00E44F61">
        <w:t xml:space="preserve">are </w:t>
      </w:r>
      <w:r w:rsidR="006025AE">
        <w:t xml:space="preserve">also </w:t>
      </w:r>
      <w:r w:rsidR="002D129A" w:rsidRPr="00E44F61">
        <w:t>listed in S</w:t>
      </w:r>
      <w:r w:rsidR="002D129A">
        <w:t xml:space="preserve">chedule </w:t>
      </w:r>
      <w:r w:rsidR="002D129A" w:rsidRPr="00E44F61">
        <w:t>18</w:t>
      </w:r>
      <w:r w:rsidR="002D129A" w:rsidRPr="00CB5107">
        <w:rPr>
          <w:lang w:bidi="ar-SA"/>
        </w:rPr>
        <w:t>.</w:t>
      </w:r>
      <w:r w:rsidR="00AD31C1">
        <w:rPr>
          <w:lang w:bidi="ar-SA"/>
        </w:rPr>
        <w:t xml:space="preserve"> </w:t>
      </w:r>
    </w:p>
    <w:p w14:paraId="139D9F47" w14:textId="14EE1838" w:rsidR="00EE3921" w:rsidRDefault="00EE3921" w:rsidP="00EE3921">
      <w:pPr>
        <w:rPr>
          <w:lang w:bidi="ar-SA"/>
        </w:rPr>
      </w:pPr>
    </w:p>
    <w:p w14:paraId="20F41B9F" w14:textId="7EE8D329" w:rsidR="00EE3921" w:rsidRDefault="00EE3921" w:rsidP="00C32559">
      <w:pPr>
        <w:rPr>
          <w:lang w:bidi="ar-SA"/>
        </w:rPr>
      </w:pPr>
      <w:r w:rsidRPr="00590981">
        <w:t xml:space="preserve">FSANZ </w:t>
      </w:r>
      <w:r>
        <w:t xml:space="preserve">has </w:t>
      </w:r>
      <w:r w:rsidRPr="00590981">
        <w:t xml:space="preserve">therefore </w:t>
      </w:r>
      <w:r>
        <w:t>prepared</w:t>
      </w:r>
      <w:r w:rsidRPr="00590981">
        <w:t xml:space="preserve"> a draft variation to </w:t>
      </w:r>
      <w:r w:rsidR="00E66A6E">
        <w:t xml:space="preserve">the Code to </w:t>
      </w:r>
      <w:r w:rsidRPr="00590981">
        <w:t xml:space="preserve">permit </w:t>
      </w:r>
      <w:r>
        <w:t xml:space="preserve">the use </w:t>
      </w:r>
      <w:r w:rsidRPr="00590981">
        <w:t>as a processing aid</w:t>
      </w:r>
      <w:r>
        <w:t xml:space="preserve"> of </w:t>
      </w:r>
      <w:r w:rsidRPr="00CB5107">
        <w:rPr>
          <w:lang w:bidi="ar-SA"/>
        </w:rPr>
        <w:t xml:space="preserve">protein glutaminase </w:t>
      </w:r>
      <w:r w:rsidR="00C32559">
        <w:rPr>
          <w:lang w:bidi="ar-SA"/>
        </w:rPr>
        <w:t xml:space="preserve">(EC 3.5.1.44) </w:t>
      </w:r>
      <w:r>
        <w:rPr>
          <w:lang w:bidi="ar-SA"/>
        </w:rPr>
        <w:t>sourced</w:t>
      </w:r>
      <w:r w:rsidRPr="00CB5107">
        <w:rPr>
          <w:lang w:bidi="ar-SA"/>
        </w:rPr>
        <w:t xml:space="preserve"> </w:t>
      </w:r>
      <w:r>
        <w:rPr>
          <w:lang w:bidi="ar-SA"/>
        </w:rPr>
        <w:t xml:space="preserve">from </w:t>
      </w:r>
      <w:r w:rsidR="00C77D84">
        <w:rPr>
          <w:i/>
          <w:lang w:bidi="ar-SA"/>
        </w:rPr>
        <w:t xml:space="preserve">C. proteolyticum </w:t>
      </w:r>
      <w:r w:rsidRPr="00F1310D">
        <w:rPr>
          <w:lang w:bidi="ar-SA"/>
        </w:rPr>
        <w:t>strain AE-PG</w:t>
      </w:r>
      <w:r w:rsidR="007B208A">
        <w:rPr>
          <w:lang w:bidi="ar-SA"/>
        </w:rPr>
        <w:t xml:space="preserve">, </w:t>
      </w:r>
      <w:r w:rsidR="00C32559">
        <w:rPr>
          <w:lang w:bidi="ar-SA"/>
        </w:rPr>
        <w:t xml:space="preserve">for the </w:t>
      </w:r>
      <w:r w:rsidR="00C32559">
        <w:rPr>
          <w:lang w:val="en-AU" w:eastAsia="en-GB" w:bidi="ar-SA"/>
        </w:rPr>
        <w:t xml:space="preserve">particular technological purpose of </w:t>
      </w:r>
      <w:r w:rsidR="00C32559" w:rsidRPr="002A6E2F">
        <w:rPr>
          <w:lang w:eastAsia="en-GB" w:bidi="ar-SA"/>
        </w:rPr>
        <w:t>deamidat</w:t>
      </w:r>
      <w:r w:rsidR="00C32559">
        <w:rPr>
          <w:lang w:eastAsia="en-GB" w:bidi="ar-SA"/>
        </w:rPr>
        <w:t>ing</w:t>
      </w:r>
      <w:r w:rsidR="00C32559" w:rsidRPr="002A6E2F">
        <w:rPr>
          <w:lang w:eastAsia="en-GB" w:bidi="ar-SA"/>
        </w:rPr>
        <w:t xml:space="preserve"> proteins during the manufacture and/or processing of the following types of food:</w:t>
      </w:r>
      <w:r w:rsidR="009E4373">
        <w:rPr>
          <w:lang w:eastAsia="en-GB" w:bidi="ar-SA"/>
        </w:rPr>
        <w:t xml:space="preserve"> baked products; pasta; noodles; milk; other </w:t>
      </w:r>
      <w:r w:rsidR="003A172E">
        <w:rPr>
          <w:lang w:eastAsia="en-GB" w:bidi="ar-SA"/>
        </w:rPr>
        <w:t>dairy</w:t>
      </w:r>
      <w:r w:rsidR="009E4373">
        <w:rPr>
          <w:lang w:eastAsia="en-GB" w:bidi="ar-SA"/>
        </w:rPr>
        <w:t xml:space="preserve"> products; meat; fish; grains; yeast; and egg based products</w:t>
      </w:r>
      <w:r w:rsidR="000D077E">
        <w:rPr>
          <w:lang w:eastAsia="en-GB" w:bidi="ar-SA"/>
        </w:rPr>
        <w:t xml:space="preserve">. The draft variation will require that </w:t>
      </w:r>
      <w:r w:rsidR="000D077E">
        <w:rPr>
          <w:rFonts w:cs="Arial"/>
        </w:rPr>
        <w:t>the amount used must be consistent with good manufacturing practice</w:t>
      </w:r>
      <w:r w:rsidR="00A10DAD">
        <w:rPr>
          <w:rFonts w:cs="Arial"/>
        </w:rPr>
        <w:t xml:space="preserve"> (GMP)</w:t>
      </w:r>
      <w:r w:rsidR="000D077E">
        <w:rPr>
          <w:rFonts w:cs="Arial"/>
        </w:rPr>
        <w:t>.</w:t>
      </w:r>
    </w:p>
    <w:p w14:paraId="3EA10342" w14:textId="77777777" w:rsidR="00C836FF" w:rsidRDefault="00C836FF" w:rsidP="002421C1">
      <w:pPr>
        <w:pStyle w:val="Heading1"/>
      </w:pPr>
      <w:r>
        <w:br w:type="page"/>
      </w:r>
    </w:p>
    <w:p w14:paraId="4206DA5C" w14:textId="77777777" w:rsidR="007A53BF" w:rsidRPr="007A53BF" w:rsidRDefault="007A53BF" w:rsidP="00CE59AA">
      <w:pPr>
        <w:pStyle w:val="Heading1"/>
      </w:pPr>
      <w:bookmarkStart w:id="10" w:name="_Toc300933417"/>
      <w:bookmarkStart w:id="11" w:name="_Toc370223464"/>
      <w:bookmarkStart w:id="12" w:name="_Toc506902850"/>
      <w:r w:rsidRPr="007A53BF">
        <w:lastRenderedPageBreak/>
        <w:t>1</w:t>
      </w:r>
      <w:r w:rsidRPr="007A53BF">
        <w:tab/>
        <w:t>Introduction</w:t>
      </w:r>
      <w:bookmarkEnd w:id="10"/>
      <w:bookmarkEnd w:id="11"/>
      <w:bookmarkEnd w:id="12"/>
    </w:p>
    <w:p w14:paraId="1BF3DE08" w14:textId="75F973CA" w:rsidR="007A53BF" w:rsidRPr="008F5B8E" w:rsidRDefault="007A53BF" w:rsidP="00CE59AA">
      <w:pPr>
        <w:pStyle w:val="Heading2"/>
      </w:pPr>
      <w:bookmarkStart w:id="13" w:name="_Toc300761890"/>
      <w:bookmarkStart w:id="14" w:name="_Toc300933419"/>
      <w:bookmarkStart w:id="15" w:name="_Toc370223465"/>
      <w:bookmarkStart w:id="16" w:name="_Toc506902851"/>
      <w:r w:rsidRPr="007A53BF">
        <w:t>1.1</w:t>
      </w:r>
      <w:r w:rsidRPr="007A53BF">
        <w:tab/>
      </w:r>
      <w:r w:rsidRPr="0086185B">
        <w:t>The Applicant</w:t>
      </w:r>
      <w:bookmarkEnd w:id="13"/>
      <w:bookmarkEnd w:id="14"/>
      <w:bookmarkEnd w:id="15"/>
      <w:bookmarkEnd w:id="16"/>
    </w:p>
    <w:p w14:paraId="1A664CBD" w14:textId="419399F2" w:rsidR="00EE3921" w:rsidRPr="008F5B8E" w:rsidRDefault="00EE3921" w:rsidP="00EE3921">
      <w:bookmarkStart w:id="17" w:name="_Toc300761891"/>
      <w:bookmarkStart w:id="18" w:name="_Toc300933420"/>
      <w:bookmarkStart w:id="19" w:name="_Toc370223466"/>
      <w:r w:rsidRPr="0086185B">
        <w:t>The Applicant is Amano Enzyme Inc</w:t>
      </w:r>
      <w:r w:rsidRPr="008F5B8E">
        <w:t>. (Amano)</w:t>
      </w:r>
      <w:r w:rsidR="005A1B59">
        <w:t xml:space="preserve">. It </w:t>
      </w:r>
      <w:r w:rsidRPr="008F5B8E">
        <w:t>produces specialty enzymes for the food industry, pharmaceuticals and diagnostic medicines.</w:t>
      </w:r>
    </w:p>
    <w:p w14:paraId="1EE4DAB0" w14:textId="35ED86A9" w:rsidR="007A53BF" w:rsidRPr="0086185B" w:rsidRDefault="007A53BF" w:rsidP="00CE59AA">
      <w:pPr>
        <w:pStyle w:val="Heading2"/>
      </w:pPr>
      <w:bookmarkStart w:id="20" w:name="_Toc506902852"/>
      <w:r w:rsidRPr="008F5B8E">
        <w:t>1.2</w:t>
      </w:r>
      <w:r w:rsidRPr="008F5B8E">
        <w:tab/>
        <w:t>The Application</w:t>
      </w:r>
      <w:bookmarkEnd w:id="17"/>
      <w:bookmarkEnd w:id="18"/>
      <w:bookmarkEnd w:id="19"/>
      <w:bookmarkEnd w:id="20"/>
    </w:p>
    <w:p w14:paraId="0368E753" w14:textId="7048AE1E" w:rsidR="00EE3921" w:rsidRDefault="00A33269" w:rsidP="00EE3921">
      <w:bookmarkStart w:id="21" w:name="_Toc300761892"/>
      <w:bookmarkStart w:id="22" w:name="_Toc300933421"/>
      <w:bookmarkStart w:id="23" w:name="_Toc370223467"/>
      <w:r>
        <w:t xml:space="preserve">The Application </w:t>
      </w:r>
      <w:r w:rsidR="00256566">
        <w:t>sought</w:t>
      </w:r>
      <w:r w:rsidR="00EE3921">
        <w:t xml:space="preserve"> permission to </w:t>
      </w:r>
      <w:r w:rsidR="00EE3921" w:rsidRPr="00590981">
        <w:t xml:space="preserve">use </w:t>
      </w:r>
      <w:r w:rsidR="00EE3921">
        <w:t xml:space="preserve">an enzyme, </w:t>
      </w:r>
      <w:r w:rsidR="00EE3921" w:rsidRPr="00CB5107">
        <w:rPr>
          <w:lang w:bidi="ar-SA"/>
        </w:rPr>
        <w:t xml:space="preserve">protein glutaminase </w:t>
      </w:r>
      <w:r w:rsidR="00EE3921">
        <w:rPr>
          <w:lang w:bidi="ar-SA"/>
        </w:rPr>
        <w:t>sourced from</w:t>
      </w:r>
      <w:r w:rsidR="00EE3921" w:rsidRPr="00CB5107">
        <w:rPr>
          <w:lang w:bidi="ar-SA"/>
        </w:rPr>
        <w:t xml:space="preserve"> </w:t>
      </w:r>
      <w:r w:rsidR="00EE3921" w:rsidRPr="00CB5107">
        <w:rPr>
          <w:i/>
          <w:lang w:bidi="ar-SA"/>
        </w:rPr>
        <w:t xml:space="preserve">Chryseobacterium </w:t>
      </w:r>
      <w:r w:rsidR="00821F99" w:rsidRPr="00CB5107">
        <w:rPr>
          <w:i/>
          <w:lang w:bidi="ar-SA"/>
        </w:rPr>
        <w:t>proteolyticum</w:t>
      </w:r>
      <w:r w:rsidR="00433DAE">
        <w:rPr>
          <w:i/>
          <w:lang w:bidi="ar-SA"/>
        </w:rPr>
        <w:t xml:space="preserve"> </w:t>
      </w:r>
      <w:r w:rsidR="00433DAE">
        <w:rPr>
          <w:rFonts w:eastAsia="Calibri" w:cs="Arial"/>
          <w:bCs/>
          <w:szCs w:val="22"/>
          <w:lang w:val="en-AU" w:bidi="ar-SA"/>
        </w:rPr>
        <w:t>(</w:t>
      </w:r>
      <w:r w:rsidR="00433DAE" w:rsidRPr="00A96706">
        <w:rPr>
          <w:rFonts w:eastAsia="Calibri" w:cs="Arial"/>
          <w:bCs/>
          <w:i/>
          <w:szCs w:val="22"/>
          <w:lang w:val="en-AU" w:bidi="ar-SA"/>
        </w:rPr>
        <w:t>C</w:t>
      </w:r>
      <w:r w:rsidR="00433DAE">
        <w:rPr>
          <w:rFonts w:eastAsia="Calibri" w:cs="Arial"/>
          <w:bCs/>
          <w:i/>
          <w:szCs w:val="22"/>
          <w:lang w:val="en-AU" w:bidi="ar-SA"/>
        </w:rPr>
        <w:t>.</w:t>
      </w:r>
      <w:r w:rsidR="00433DAE" w:rsidRPr="00A96706">
        <w:rPr>
          <w:rFonts w:eastAsia="Calibri" w:cs="Arial"/>
          <w:bCs/>
          <w:i/>
          <w:szCs w:val="22"/>
          <w:lang w:val="en-AU" w:bidi="ar-SA"/>
        </w:rPr>
        <w:t xml:space="preserve"> proteolyticum</w:t>
      </w:r>
      <w:r w:rsidR="00433DAE">
        <w:rPr>
          <w:rFonts w:eastAsia="Calibri" w:cs="Arial"/>
          <w:bCs/>
          <w:szCs w:val="22"/>
          <w:lang w:val="en-AU" w:bidi="ar-SA"/>
        </w:rPr>
        <w:t>)</w:t>
      </w:r>
      <w:r w:rsidR="00821F99">
        <w:rPr>
          <w:i/>
          <w:lang w:bidi="ar-SA"/>
        </w:rPr>
        <w:t>,</w:t>
      </w:r>
      <w:r w:rsidR="00821F99">
        <w:rPr>
          <w:lang w:bidi="ar-SA"/>
        </w:rPr>
        <w:t xml:space="preserve"> strain</w:t>
      </w:r>
      <w:r w:rsidR="003808CE">
        <w:rPr>
          <w:lang w:bidi="ar-SA"/>
        </w:rPr>
        <w:t xml:space="preserve"> AE-PG</w:t>
      </w:r>
      <w:r w:rsidR="00EE3921">
        <w:rPr>
          <w:i/>
          <w:lang w:bidi="ar-SA"/>
        </w:rPr>
        <w:t xml:space="preserve"> </w:t>
      </w:r>
      <w:r w:rsidR="00EE3921" w:rsidRPr="00B347E3">
        <w:rPr>
          <w:lang w:bidi="ar-SA"/>
        </w:rPr>
        <w:t xml:space="preserve">as a processing aid </w:t>
      </w:r>
      <w:r>
        <w:rPr>
          <w:lang w:bidi="ar-SA"/>
        </w:rPr>
        <w:t xml:space="preserve">to </w:t>
      </w:r>
      <w:r w:rsidR="00EE3921" w:rsidRPr="00B347E3">
        <w:rPr>
          <w:lang w:bidi="ar-SA"/>
        </w:rPr>
        <w:t xml:space="preserve">manufacture </w:t>
      </w:r>
      <w:r w:rsidR="009E4373">
        <w:rPr>
          <w:lang w:bidi="ar-SA"/>
        </w:rPr>
        <w:t xml:space="preserve">specified </w:t>
      </w:r>
      <w:r w:rsidR="00EE3921" w:rsidRPr="00B347E3">
        <w:rPr>
          <w:lang w:bidi="ar-SA"/>
        </w:rPr>
        <w:t>food</w:t>
      </w:r>
      <w:r w:rsidR="00EE3921">
        <w:rPr>
          <w:lang w:bidi="ar-SA"/>
        </w:rPr>
        <w:t xml:space="preserve"> products. </w:t>
      </w:r>
    </w:p>
    <w:p w14:paraId="6A7F19F1" w14:textId="77777777" w:rsidR="00EE3921" w:rsidRDefault="00EE3921" w:rsidP="00EE3921">
      <w:pPr>
        <w:rPr>
          <w:lang w:bidi="ar-SA"/>
        </w:rPr>
      </w:pPr>
    </w:p>
    <w:p w14:paraId="291314A2" w14:textId="321E952D" w:rsidR="00EE3921" w:rsidRPr="005F0BFA" w:rsidRDefault="00EE3921" w:rsidP="00EE3921">
      <w:r>
        <w:t>P</w:t>
      </w:r>
      <w:r w:rsidRPr="005F0BFA">
        <w:t>rotein glutaminase benefit</w:t>
      </w:r>
      <w:r>
        <w:t>s</w:t>
      </w:r>
      <w:r w:rsidRPr="005F0BFA">
        <w:t xml:space="preserve"> food manufacturers </w:t>
      </w:r>
      <w:r>
        <w:t>by</w:t>
      </w:r>
      <w:r w:rsidRPr="005F0BFA">
        <w:t xml:space="preserve"> </w:t>
      </w:r>
      <w:r>
        <w:t>enhancing protein solubility</w:t>
      </w:r>
      <w:r w:rsidRPr="005F0BFA">
        <w:t xml:space="preserve"> </w:t>
      </w:r>
      <w:r>
        <w:t>in</w:t>
      </w:r>
      <w:r w:rsidRPr="005F0BFA">
        <w:t xml:space="preserve"> </w:t>
      </w:r>
      <w:r>
        <w:t>various applications</w:t>
      </w:r>
      <w:r w:rsidR="00A33269">
        <w:t>.</w:t>
      </w:r>
      <w:r>
        <w:t xml:space="preserve"> </w:t>
      </w:r>
    </w:p>
    <w:p w14:paraId="269B8D50" w14:textId="77777777" w:rsidR="007A53BF" w:rsidRPr="007A53BF" w:rsidRDefault="007A53BF" w:rsidP="00CE59AA">
      <w:pPr>
        <w:pStyle w:val="Heading2"/>
      </w:pPr>
      <w:bookmarkStart w:id="24" w:name="_Toc506902853"/>
      <w:r w:rsidRPr="007A53BF">
        <w:t>1.3</w:t>
      </w:r>
      <w:r w:rsidRPr="007A53BF">
        <w:tab/>
        <w:t>The current Standard</w:t>
      </w:r>
      <w:bookmarkEnd w:id="21"/>
      <w:bookmarkEnd w:id="22"/>
      <w:bookmarkEnd w:id="23"/>
      <w:bookmarkEnd w:id="24"/>
    </w:p>
    <w:p w14:paraId="24B578C7" w14:textId="77777777" w:rsidR="00EE3921" w:rsidRDefault="00EE3921" w:rsidP="00EE3921">
      <w:bookmarkStart w:id="25" w:name="_Toc286391007"/>
      <w:bookmarkStart w:id="26" w:name="_Toc300933423"/>
      <w:bookmarkStart w:id="27" w:name="_Toc370223468"/>
      <w:bookmarkStart w:id="28" w:name="_Toc175381432"/>
      <w:r w:rsidRPr="00DC1D7F">
        <w:t xml:space="preserve">Enzymes used in processing and manufacturing food are considered processing aids. </w:t>
      </w:r>
    </w:p>
    <w:p w14:paraId="60E740D5" w14:textId="77777777" w:rsidR="00EE3921" w:rsidRDefault="00EE3921" w:rsidP="00EE3921"/>
    <w:p w14:paraId="7F827124" w14:textId="77777777" w:rsidR="005A1B59" w:rsidRDefault="00EE3921" w:rsidP="00EE3921">
      <w:r w:rsidRPr="00CF436C">
        <w:t xml:space="preserve">Paragraph 1.1.1—10(6)(c) </w:t>
      </w:r>
      <w:r>
        <w:t>of</w:t>
      </w:r>
      <w:r w:rsidRPr="00CF436C">
        <w:t xml:space="preserve"> </w:t>
      </w:r>
      <w:r w:rsidRPr="00DC1D7F">
        <w:t>the</w:t>
      </w:r>
      <w:r>
        <w:t xml:space="preserve"> </w:t>
      </w:r>
      <w:r w:rsidRPr="00092635">
        <w:rPr>
          <w:i/>
        </w:rPr>
        <w:t>Australia New Zealand Food Standards Code</w:t>
      </w:r>
      <w:r w:rsidRPr="00DC1D7F">
        <w:t xml:space="preserve"> </w:t>
      </w:r>
      <w:r>
        <w:t xml:space="preserve">(the </w:t>
      </w:r>
      <w:r w:rsidRPr="00DC1D7F">
        <w:t>Code</w:t>
      </w:r>
      <w:r>
        <w:t xml:space="preserve">) provides that a food for sale </w:t>
      </w:r>
      <w:r w:rsidRPr="00CF436C">
        <w:t>must not have, as an ingredient or a component, a substance that is used as a processing aid, unless expressly permitted.</w:t>
      </w:r>
      <w:r w:rsidRPr="00A420AB">
        <w:t xml:space="preserve"> </w:t>
      </w:r>
    </w:p>
    <w:p w14:paraId="05781DA8" w14:textId="77777777" w:rsidR="005A1B59" w:rsidRDefault="005A1B59" w:rsidP="00EE3921"/>
    <w:p w14:paraId="16D45758" w14:textId="77777777" w:rsidR="00EE3921" w:rsidRPr="00DC1D7F" w:rsidRDefault="00EE3921" w:rsidP="00EE3921">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the table to subsection S18—9(3).</w:t>
      </w:r>
    </w:p>
    <w:p w14:paraId="6B279838" w14:textId="77777777" w:rsidR="00EE3921" w:rsidRDefault="00EE3921" w:rsidP="00EE3921"/>
    <w:p w14:paraId="0897C243" w14:textId="77777777" w:rsidR="005B19D0" w:rsidRDefault="005B19D0" w:rsidP="005B19D0">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41044215" w14:textId="77777777" w:rsidR="005B19D0" w:rsidRDefault="005B19D0" w:rsidP="005B19D0"/>
    <w:p w14:paraId="69078098" w14:textId="4661C20E" w:rsidR="00EE3921" w:rsidRDefault="00EE3921" w:rsidP="00EE3921">
      <w:r w:rsidRPr="00796463">
        <w:t>P</w:t>
      </w:r>
      <w:r w:rsidRPr="00796463">
        <w:rPr>
          <w:lang w:bidi="ar-SA"/>
        </w:rPr>
        <w:t xml:space="preserve">rotein glutaminase sourced from </w:t>
      </w:r>
      <w:r w:rsidR="00C77D84">
        <w:rPr>
          <w:i/>
          <w:lang w:bidi="ar-SA"/>
        </w:rPr>
        <w:t>C. proteolyticum</w:t>
      </w:r>
      <w:r w:rsidR="00240EA1">
        <w:rPr>
          <w:i/>
          <w:lang w:bidi="ar-SA"/>
        </w:rPr>
        <w:t xml:space="preserve"> </w:t>
      </w:r>
      <w:r w:rsidR="00240EA1">
        <w:rPr>
          <w:lang w:bidi="ar-SA"/>
        </w:rPr>
        <w:t>strain AE-PG</w:t>
      </w:r>
      <w:r w:rsidR="00C77D84">
        <w:rPr>
          <w:i/>
          <w:lang w:bidi="ar-SA"/>
        </w:rPr>
        <w:t xml:space="preserve"> </w:t>
      </w:r>
      <w:r w:rsidR="006261D7" w:rsidRPr="00796463">
        <w:t xml:space="preserve">is </w:t>
      </w:r>
      <w:r w:rsidR="006261D7">
        <w:t>not</w:t>
      </w:r>
      <w:r w:rsidRPr="00796463">
        <w:t xml:space="preserve"> listed in Schedule 18</w:t>
      </w:r>
      <w:r w:rsidR="00961987">
        <w:t xml:space="preserve"> and</w:t>
      </w:r>
      <w:r w:rsidR="009E4373">
        <w:t xml:space="preserve"> is</w:t>
      </w:r>
      <w:r w:rsidR="006261D7">
        <w:t xml:space="preserve"> </w:t>
      </w:r>
      <w:r w:rsidR="007B5FA8">
        <w:t xml:space="preserve">not </w:t>
      </w:r>
      <w:r w:rsidR="007B5FA8" w:rsidRPr="00796463">
        <w:t xml:space="preserve">permitted </w:t>
      </w:r>
      <w:r w:rsidR="005A1B59">
        <w:t xml:space="preserve">to be used </w:t>
      </w:r>
      <w:r w:rsidR="007B5FA8">
        <w:t xml:space="preserve">as a </w:t>
      </w:r>
      <w:r w:rsidRPr="00796463">
        <w:t>processing</w:t>
      </w:r>
      <w:r w:rsidR="004B741B">
        <w:t xml:space="preserve"> aid</w:t>
      </w:r>
      <w:r w:rsidR="007B5FA8">
        <w:t>.</w:t>
      </w:r>
    </w:p>
    <w:p w14:paraId="510C765B" w14:textId="77777777" w:rsidR="00D05D80" w:rsidRPr="00AC7D02" w:rsidRDefault="00D05D80" w:rsidP="00AC7D02">
      <w:pPr>
        <w:pStyle w:val="Heading3"/>
      </w:pPr>
      <w:bookmarkStart w:id="29" w:name="_Toc392138895"/>
      <w:bookmarkStart w:id="30" w:name="_Toc402946760"/>
      <w:bookmarkStart w:id="31" w:name="_Toc408481338"/>
      <w:bookmarkStart w:id="32" w:name="_Toc422314544"/>
      <w:bookmarkStart w:id="33" w:name="_Toc485991547"/>
      <w:bookmarkStart w:id="34" w:name="_Toc506902854"/>
      <w:r w:rsidRPr="00AC7D02">
        <w:t>1.3.1</w:t>
      </w:r>
      <w:r w:rsidRPr="00AC7D02">
        <w:tab/>
        <w:t>International Standards</w:t>
      </w:r>
      <w:bookmarkEnd w:id="29"/>
      <w:bookmarkEnd w:id="30"/>
      <w:bookmarkEnd w:id="31"/>
      <w:bookmarkEnd w:id="32"/>
      <w:bookmarkEnd w:id="33"/>
      <w:bookmarkEnd w:id="34"/>
    </w:p>
    <w:p w14:paraId="662574D2" w14:textId="453793C1" w:rsidR="00D05D80" w:rsidRPr="00061265" w:rsidRDefault="00D05D80" w:rsidP="00D05D80">
      <w:r w:rsidRPr="00061265">
        <w:t xml:space="preserve">The enzyme preparation has been approved for use in food production in </w:t>
      </w:r>
      <w:r>
        <w:t>France and the USA</w:t>
      </w:r>
      <w:r w:rsidRPr="00061265">
        <w:rPr>
          <w:noProof/>
        </w:rPr>
        <w:t>.</w:t>
      </w:r>
    </w:p>
    <w:p w14:paraId="45FF8E7B" w14:textId="77777777" w:rsidR="00D05D80" w:rsidRPr="00061265" w:rsidRDefault="00D05D80" w:rsidP="00D05D80"/>
    <w:p w14:paraId="7809D7A0" w14:textId="77777777" w:rsidR="00D05D80" w:rsidRPr="00061265" w:rsidRDefault="00D05D80" w:rsidP="00D05D80">
      <w:r w:rsidRPr="00061265">
        <w:t xml:space="preserve">The Codex Alimentarius does not establish Standards for processing aids or for enzymes. Individual countries regulate the use of enzymes differently to the Code. </w:t>
      </w:r>
    </w:p>
    <w:p w14:paraId="2CA21840" w14:textId="77777777" w:rsidR="00D05D80" w:rsidRPr="00061265" w:rsidRDefault="00D05D80" w:rsidP="00D05D80"/>
    <w:p w14:paraId="7D18F95C" w14:textId="43A53D9B" w:rsidR="00D05D80" w:rsidRPr="00796463" w:rsidRDefault="00D05D80" w:rsidP="00EE3921">
      <w:r w:rsidRPr="00061265">
        <w:t xml:space="preserve">However, there are internationally recognised specifications for enzymes. These enzyme specifications are established by </w:t>
      </w:r>
      <w:r w:rsidRPr="00061265">
        <w:rPr>
          <w:noProof/>
        </w:rPr>
        <w:t xml:space="preserve">JECFA </w:t>
      </w:r>
      <w:r w:rsidR="00CB1945">
        <w:rPr>
          <w:noProof/>
        </w:rPr>
        <w:t>(</w:t>
      </w:r>
      <w:r w:rsidRPr="00061265">
        <w:rPr>
          <w:noProof/>
        </w:rPr>
        <w:t>2006)</w:t>
      </w:r>
      <w:r w:rsidRPr="00061265">
        <w:t xml:space="preserve"> and the Food Chemicals Codex (Food Chemicals Codex 2014).</w:t>
      </w:r>
    </w:p>
    <w:p w14:paraId="7ACCBE43" w14:textId="2B4DE444" w:rsidR="007A53BF" w:rsidRPr="00796463" w:rsidRDefault="007A53BF" w:rsidP="00CE59AA">
      <w:pPr>
        <w:pStyle w:val="Heading2"/>
        <w:rPr>
          <w:u w:color="FFFF00"/>
        </w:rPr>
      </w:pPr>
      <w:bookmarkStart w:id="35" w:name="_Toc506902855"/>
      <w:r w:rsidRPr="00796463">
        <w:rPr>
          <w:u w:color="FFFF00"/>
        </w:rPr>
        <w:t>1.4</w:t>
      </w:r>
      <w:r w:rsidRPr="00796463">
        <w:rPr>
          <w:u w:color="FFFF00"/>
        </w:rPr>
        <w:tab/>
        <w:t>Reasons for accepting Application</w:t>
      </w:r>
      <w:bookmarkEnd w:id="25"/>
      <w:bookmarkEnd w:id="26"/>
      <w:bookmarkEnd w:id="27"/>
      <w:bookmarkEnd w:id="35"/>
    </w:p>
    <w:bookmarkEnd w:id="28"/>
    <w:p w14:paraId="743D3C86" w14:textId="77777777" w:rsidR="00796463" w:rsidRPr="00796463" w:rsidRDefault="00796463" w:rsidP="00796463">
      <w:r w:rsidRPr="00796463">
        <w:t>The Application was accepted for assessment because:</w:t>
      </w:r>
    </w:p>
    <w:p w14:paraId="6C47E23A" w14:textId="26CB3D2D" w:rsidR="00796463" w:rsidRPr="00796463" w:rsidRDefault="00796463" w:rsidP="005A1B59">
      <w:pPr>
        <w:pStyle w:val="FSBullet1"/>
        <w:ind w:left="284" w:hanging="284"/>
      </w:pPr>
      <w:r w:rsidRPr="00796463">
        <w:t>it complied with the procedural requirements under subsection 22(2) of the FSANZ Act</w:t>
      </w:r>
      <w:r w:rsidR="005A1B59">
        <w:t>; and</w:t>
      </w:r>
    </w:p>
    <w:p w14:paraId="1CBECD86" w14:textId="77777777" w:rsidR="00796463" w:rsidRPr="00796463" w:rsidRDefault="00796463" w:rsidP="005A1B59">
      <w:pPr>
        <w:pStyle w:val="FSBullet1"/>
        <w:ind w:left="284" w:hanging="284"/>
      </w:pPr>
      <w:r w:rsidRPr="00796463">
        <w:t>it related to a matter that warranted the variation of a food regulatory measure.</w:t>
      </w:r>
    </w:p>
    <w:p w14:paraId="3A4D6317" w14:textId="36C9F58A" w:rsidR="007A53BF" w:rsidRPr="00796463" w:rsidRDefault="007A53BF" w:rsidP="007A53BF"/>
    <w:p w14:paraId="45DF49A3" w14:textId="77777777" w:rsidR="007A53BF" w:rsidRPr="00796463" w:rsidRDefault="007A53BF" w:rsidP="00CE59AA">
      <w:pPr>
        <w:pStyle w:val="Heading2"/>
      </w:pPr>
      <w:bookmarkStart w:id="36" w:name="_Toc370223469"/>
      <w:bookmarkStart w:id="37" w:name="_Toc506902856"/>
      <w:r w:rsidRPr="00796463">
        <w:lastRenderedPageBreak/>
        <w:t>1.5</w:t>
      </w:r>
      <w:r w:rsidRPr="00796463">
        <w:tab/>
        <w:t>Procedure for assessment</w:t>
      </w:r>
      <w:bookmarkEnd w:id="36"/>
      <w:bookmarkEnd w:id="37"/>
    </w:p>
    <w:p w14:paraId="2218DBB7" w14:textId="37A236DC" w:rsidR="00AF397D" w:rsidRPr="00796463" w:rsidRDefault="00AF397D" w:rsidP="00AF397D">
      <w:r w:rsidRPr="00796463">
        <w:t>The A</w:t>
      </w:r>
      <w:r w:rsidR="00796463" w:rsidRPr="00796463">
        <w:t>pplication</w:t>
      </w:r>
      <w:r w:rsidRPr="00796463">
        <w:t xml:space="preserve"> was assessed under the </w:t>
      </w:r>
      <w:r w:rsidR="00796463" w:rsidRPr="00796463">
        <w:t>General</w:t>
      </w:r>
      <w:r w:rsidRPr="00796463">
        <w:t xml:space="preserve"> Procedure.</w:t>
      </w:r>
    </w:p>
    <w:p w14:paraId="2EB1CBBB" w14:textId="77777777" w:rsidR="00422EC9" w:rsidRDefault="007A53BF" w:rsidP="00422EC9">
      <w:pPr>
        <w:pStyle w:val="Heading2"/>
      </w:pPr>
      <w:bookmarkStart w:id="38" w:name="_Toc506902857"/>
      <w:r>
        <w:t>1</w:t>
      </w:r>
      <w:r w:rsidR="00422EC9">
        <w:t>.6</w:t>
      </w:r>
      <w:r w:rsidR="00422EC9">
        <w:tab/>
      </w:r>
      <w:r w:rsidR="00422EC9" w:rsidRPr="00932F14">
        <w:t>Decision</w:t>
      </w:r>
      <w:bookmarkEnd w:id="38"/>
    </w:p>
    <w:p w14:paraId="28E29D3F" w14:textId="20B610E0" w:rsidR="008D14D0" w:rsidRDefault="00796463" w:rsidP="00796463">
      <w:pPr>
        <w:rPr>
          <w:lang w:bidi="ar-SA"/>
        </w:rPr>
      </w:pPr>
      <w:r>
        <w:t>The draft</w:t>
      </w:r>
      <w:r w:rsidRPr="00CA3CAF">
        <w:t xml:space="preserve"> variation </w:t>
      </w:r>
      <w:r w:rsidRPr="009F2959">
        <w:t xml:space="preserve">as proposed following assessment was approved </w:t>
      </w:r>
      <w:r w:rsidRPr="00CA3CAF">
        <w:t>with</w:t>
      </w:r>
      <w:r w:rsidR="003362A9">
        <w:t>out</w:t>
      </w:r>
      <w:r w:rsidRPr="00CA3CAF">
        <w:t xml:space="preserve"> amendment</w:t>
      </w:r>
      <w:r w:rsidRPr="009F2959">
        <w:t>.</w:t>
      </w:r>
      <w:r>
        <w:t xml:space="preserve"> </w:t>
      </w:r>
      <w:r w:rsidRPr="00E72D43">
        <w:rPr>
          <w:lang w:bidi="ar-SA"/>
        </w:rPr>
        <w:t xml:space="preserve"> </w:t>
      </w:r>
    </w:p>
    <w:p w14:paraId="3E4055EC" w14:textId="77777777" w:rsidR="008D14D0" w:rsidRDefault="008D14D0" w:rsidP="00796463">
      <w:pPr>
        <w:rPr>
          <w:lang w:bidi="ar-SA"/>
        </w:rPr>
      </w:pPr>
    </w:p>
    <w:p w14:paraId="1B419531" w14:textId="677AD87B" w:rsidR="006F6371" w:rsidRDefault="000B1F10" w:rsidP="00796463">
      <w:pPr>
        <w:rPr>
          <w:lang w:bidi="ar-SA"/>
        </w:rPr>
      </w:pPr>
      <w:r>
        <w:rPr>
          <w:lang w:bidi="ar-SA"/>
        </w:rPr>
        <w:t>P</w:t>
      </w:r>
      <w:r w:rsidRPr="00CB5107">
        <w:rPr>
          <w:lang w:bidi="ar-SA"/>
        </w:rPr>
        <w:t xml:space="preserve">rotein </w:t>
      </w:r>
      <w:r w:rsidR="00796463" w:rsidRPr="00CB5107">
        <w:rPr>
          <w:lang w:bidi="ar-SA"/>
        </w:rPr>
        <w:t xml:space="preserve">glutaminase </w:t>
      </w:r>
      <w:r w:rsidRPr="000209A5">
        <w:t>(EC 3.</w:t>
      </w:r>
      <w:r>
        <w:t>5.1.44</w:t>
      </w:r>
      <w:r w:rsidRPr="000209A5">
        <w:t>)</w:t>
      </w:r>
      <w:r w:rsidRPr="00BA353C">
        <w:rPr>
          <w:rFonts w:eastAsia="Calibri" w:cs="Arial"/>
          <w:bCs/>
          <w:szCs w:val="22"/>
          <w:lang w:bidi="ar-SA"/>
        </w:rPr>
        <w:t xml:space="preserve"> </w:t>
      </w:r>
      <w:r w:rsidR="00796463">
        <w:rPr>
          <w:lang w:bidi="ar-SA"/>
        </w:rPr>
        <w:t>sourced</w:t>
      </w:r>
      <w:r w:rsidR="00796463" w:rsidRPr="00CB5107">
        <w:rPr>
          <w:lang w:bidi="ar-SA"/>
        </w:rPr>
        <w:t xml:space="preserve"> </w:t>
      </w:r>
      <w:r w:rsidR="00796463">
        <w:rPr>
          <w:lang w:bidi="ar-SA"/>
        </w:rPr>
        <w:t xml:space="preserve">from </w:t>
      </w:r>
      <w:r w:rsidR="00C77D84">
        <w:rPr>
          <w:i/>
          <w:lang w:bidi="ar-SA"/>
        </w:rPr>
        <w:t xml:space="preserve">C. proteolyticum </w:t>
      </w:r>
      <w:r w:rsidR="00C84F74">
        <w:rPr>
          <w:lang w:bidi="ar-SA"/>
        </w:rPr>
        <w:t xml:space="preserve">strain </w:t>
      </w:r>
      <w:r w:rsidR="00796463">
        <w:rPr>
          <w:lang w:bidi="ar-SA"/>
        </w:rPr>
        <w:t xml:space="preserve">AE-PG, will be </w:t>
      </w:r>
      <w:r w:rsidR="006F6371">
        <w:rPr>
          <w:lang w:bidi="ar-SA"/>
        </w:rPr>
        <w:t>listed in the table to subsection S18—9(3)</w:t>
      </w:r>
      <w:r w:rsidR="005A1B59">
        <w:rPr>
          <w:lang w:bidi="ar-SA"/>
        </w:rPr>
        <w:t>, permitting its use</w:t>
      </w:r>
      <w:r w:rsidR="00B0087F">
        <w:rPr>
          <w:lang w:bidi="ar-SA"/>
        </w:rPr>
        <w:t xml:space="preserve"> </w:t>
      </w:r>
      <w:r w:rsidR="006F6371">
        <w:rPr>
          <w:lang w:bidi="ar-SA"/>
        </w:rPr>
        <w:t xml:space="preserve">for the </w:t>
      </w:r>
      <w:r w:rsidR="005A1B59">
        <w:rPr>
          <w:lang w:bidi="ar-SA"/>
        </w:rPr>
        <w:t>specific</w:t>
      </w:r>
      <w:r w:rsidR="00635D91">
        <w:rPr>
          <w:lang w:bidi="ar-SA"/>
        </w:rPr>
        <w:t xml:space="preserve"> </w:t>
      </w:r>
      <w:r w:rsidR="006F6371">
        <w:rPr>
          <w:lang w:bidi="ar-SA"/>
        </w:rPr>
        <w:t xml:space="preserve">technological purpose stated </w:t>
      </w:r>
      <w:r w:rsidR="00F82AD6">
        <w:rPr>
          <w:lang w:bidi="ar-SA"/>
        </w:rPr>
        <w:t>below</w:t>
      </w:r>
      <w:r w:rsidR="000D077E">
        <w:rPr>
          <w:lang w:bidi="ar-SA"/>
        </w:rPr>
        <w:t xml:space="preserve"> </w:t>
      </w:r>
      <w:r w:rsidR="00E66A6E">
        <w:rPr>
          <w:lang w:bidi="ar-SA"/>
        </w:rPr>
        <w:t>with</w:t>
      </w:r>
      <w:r w:rsidR="000D077E">
        <w:rPr>
          <w:lang w:bidi="ar-SA"/>
        </w:rPr>
        <w:t xml:space="preserve"> the condition </w:t>
      </w:r>
      <w:r w:rsidR="000D077E">
        <w:rPr>
          <w:rFonts w:cs="Arial"/>
        </w:rPr>
        <w:t>that the amount used must be consistent with good manufacturing practice (GMP)</w:t>
      </w:r>
      <w:r w:rsidR="006F6371">
        <w:rPr>
          <w:lang w:bidi="ar-SA"/>
        </w:rPr>
        <w:t>.</w:t>
      </w:r>
    </w:p>
    <w:p w14:paraId="68F060E9" w14:textId="77777777" w:rsidR="006F6371" w:rsidRDefault="006F6371" w:rsidP="00796463">
      <w:pPr>
        <w:rPr>
          <w:lang w:bidi="ar-SA"/>
        </w:rPr>
      </w:pPr>
    </w:p>
    <w:p w14:paraId="6EC72FBA" w14:textId="3E2DB6A4" w:rsidR="00796463" w:rsidRDefault="00796463" w:rsidP="00796463">
      <w:pPr>
        <w:rPr>
          <w:lang w:bidi="ar-SA"/>
        </w:rPr>
      </w:pPr>
      <w:r>
        <w:rPr>
          <w:lang w:bidi="ar-SA"/>
        </w:rPr>
        <w:t xml:space="preserve">The </w:t>
      </w:r>
      <w:r w:rsidR="00203E94">
        <w:rPr>
          <w:lang w:bidi="ar-SA"/>
        </w:rPr>
        <w:t>enzyme will be listed</w:t>
      </w:r>
      <w:r>
        <w:rPr>
          <w:lang w:bidi="ar-SA"/>
        </w:rPr>
        <w:t xml:space="preserve"> in </w:t>
      </w:r>
      <w:r w:rsidR="00CA760A">
        <w:rPr>
          <w:lang w:bidi="ar-SA"/>
        </w:rPr>
        <w:t>the table to subsection S18—9(3)</w:t>
      </w:r>
      <w:r>
        <w:rPr>
          <w:lang w:bidi="ar-SA"/>
        </w:rPr>
        <w:t xml:space="preserve">, rather </w:t>
      </w:r>
      <w:r w:rsidR="00394FB2">
        <w:rPr>
          <w:lang w:bidi="ar-SA"/>
        </w:rPr>
        <w:t xml:space="preserve">than </w:t>
      </w:r>
      <w:r w:rsidR="00CA760A">
        <w:rPr>
          <w:lang w:bidi="ar-SA"/>
        </w:rPr>
        <w:t xml:space="preserve">the table to subsection </w:t>
      </w:r>
      <w:r w:rsidR="00394FB2">
        <w:rPr>
          <w:lang w:bidi="ar-SA"/>
        </w:rPr>
        <w:t>S18—4</w:t>
      </w:r>
      <w:r w:rsidR="00CA760A">
        <w:rPr>
          <w:lang w:bidi="ar-SA"/>
        </w:rPr>
        <w:t>(5)</w:t>
      </w:r>
      <w:r w:rsidR="00394FB2">
        <w:rPr>
          <w:lang w:bidi="ar-SA"/>
        </w:rPr>
        <w:t xml:space="preserve"> as requested by the </w:t>
      </w:r>
      <w:r w:rsidR="005A1B59">
        <w:rPr>
          <w:lang w:bidi="ar-SA"/>
        </w:rPr>
        <w:t>A</w:t>
      </w:r>
      <w:r w:rsidR="00394FB2">
        <w:rPr>
          <w:lang w:bidi="ar-SA"/>
        </w:rPr>
        <w:t>pplicant</w:t>
      </w:r>
      <w:r w:rsidR="00E17C21">
        <w:rPr>
          <w:lang w:bidi="ar-SA"/>
        </w:rPr>
        <w:t>. This is because the enzyme will be</w:t>
      </w:r>
      <w:r w:rsidR="00856566">
        <w:rPr>
          <w:lang w:bidi="ar-SA"/>
        </w:rPr>
        <w:t xml:space="preserve"> permitted to be used only for </w:t>
      </w:r>
      <w:r w:rsidR="00394FB2">
        <w:rPr>
          <w:lang w:bidi="ar-SA"/>
        </w:rPr>
        <w:t>a specific technological purpose</w:t>
      </w:r>
      <w:r w:rsidR="00F82AD6" w:rsidRPr="008206C5">
        <w:rPr>
          <w:lang w:bidi="ar-SA"/>
        </w:rPr>
        <w:t>—</w:t>
      </w:r>
      <w:r w:rsidR="00F82AD6">
        <w:rPr>
          <w:lang w:bidi="ar-SA"/>
        </w:rPr>
        <w:t xml:space="preserve">to </w:t>
      </w:r>
      <w:r w:rsidR="00F82AD6" w:rsidRPr="00EB3ECA">
        <w:t xml:space="preserve">deamidate proteins during the manufacture and/or processing </w:t>
      </w:r>
      <w:r w:rsidR="00F82AD6">
        <w:t xml:space="preserve">of </w:t>
      </w:r>
      <w:r w:rsidR="009E4373">
        <w:t>the following foods:</w:t>
      </w:r>
      <w:r w:rsidR="00F82AD6" w:rsidRPr="00CC19A6">
        <w:rPr>
          <w:rFonts w:eastAsia="Calibri" w:cs="Arial"/>
          <w:bCs/>
          <w:szCs w:val="22"/>
          <w:lang w:val="en-AU" w:bidi="ar-SA"/>
        </w:rPr>
        <w:t xml:space="preserve"> bak</w:t>
      </w:r>
      <w:r w:rsidR="00F82AD6">
        <w:rPr>
          <w:rFonts w:eastAsia="Calibri" w:cs="Arial"/>
          <w:bCs/>
          <w:szCs w:val="22"/>
          <w:lang w:val="en-AU" w:bidi="ar-SA"/>
        </w:rPr>
        <w:t>ed products</w:t>
      </w:r>
      <w:r w:rsidR="00F82AD6" w:rsidRPr="00CC19A6">
        <w:rPr>
          <w:rFonts w:eastAsia="Calibri" w:cs="Arial"/>
          <w:bCs/>
          <w:szCs w:val="22"/>
          <w:lang w:val="en-AU" w:bidi="ar-SA"/>
        </w:rPr>
        <w:t xml:space="preserve">, </w:t>
      </w:r>
      <w:r w:rsidR="00F82AD6">
        <w:rPr>
          <w:rFonts w:eastAsia="Calibri" w:cs="Arial"/>
          <w:bCs/>
          <w:szCs w:val="22"/>
          <w:lang w:val="en-AU" w:bidi="ar-SA"/>
        </w:rPr>
        <w:t xml:space="preserve">pasta, </w:t>
      </w:r>
      <w:r w:rsidR="00F82AD6" w:rsidRPr="00CC19A6">
        <w:rPr>
          <w:rFonts w:eastAsia="Calibri" w:cs="Arial"/>
          <w:bCs/>
          <w:szCs w:val="22"/>
          <w:lang w:val="en-AU" w:bidi="ar-SA"/>
        </w:rPr>
        <w:t>noodle</w:t>
      </w:r>
      <w:r w:rsidR="00F82AD6">
        <w:rPr>
          <w:rFonts w:eastAsia="Calibri" w:cs="Arial"/>
          <w:bCs/>
          <w:szCs w:val="22"/>
          <w:lang w:val="en-AU" w:bidi="ar-SA"/>
        </w:rPr>
        <w:t>s</w:t>
      </w:r>
      <w:r w:rsidR="00F82AD6" w:rsidRPr="00CC19A6">
        <w:rPr>
          <w:rFonts w:eastAsia="Calibri" w:cs="Arial"/>
          <w:bCs/>
          <w:szCs w:val="22"/>
          <w:lang w:val="en-AU" w:bidi="ar-SA"/>
        </w:rPr>
        <w:t xml:space="preserve">, </w:t>
      </w:r>
      <w:r w:rsidR="00F82AD6">
        <w:rPr>
          <w:rFonts w:eastAsia="Calibri" w:cs="Arial"/>
          <w:bCs/>
          <w:szCs w:val="22"/>
          <w:lang w:val="en-AU" w:bidi="ar-SA"/>
        </w:rPr>
        <w:t xml:space="preserve">milk, other </w:t>
      </w:r>
      <w:r w:rsidR="00F82AD6" w:rsidRPr="00CC19A6">
        <w:rPr>
          <w:rFonts w:eastAsia="Calibri" w:cs="Arial"/>
          <w:bCs/>
          <w:szCs w:val="22"/>
          <w:lang w:val="en-AU" w:bidi="ar-SA"/>
        </w:rPr>
        <w:t>dairy</w:t>
      </w:r>
      <w:r w:rsidR="00F82AD6">
        <w:rPr>
          <w:rFonts w:eastAsia="Calibri" w:cs="Arial"/>
          <w:bCs/>
          <w:szCs w:val="22"/>
          <w:lang w:val="en-AU" w:bidi="ar-SA"/>
        </w:rPr>
        <w:t xml:space="preserve"> products</w:t>
      </w:r>
      <w:r w:rsidR="00F82AD6" w:rsidRPr="00CC19A6">
        <w:rPr>
          <w:rFonts w:eastAsia="Calibri" w:cs="Arial"/>
          <w:bCs/>
          <w:szCs w:val="22"/>
          <w:lang w:val="en-AU" w:bidi="ar-SA"/>
        </w:rPr>
        <w:t>, meat, fish</w:t>
      </w:r>
      <w:r w:rsidR="00F82AD6">
        <w:rPr>
          <w:rFonts w:eastAsia="Calibri" w:cs="Arial"/>
          <w:bCs/>
          <w:szCs w:val="22"/>
          <w:lang w:val="en-AU" w:bidi="ar-SA"/>
        </w:rPr>
        <w:t xml:space="preserve">, grains, </w:t>
      </w:r>
      <w:r w:rsidR="00F82AD6" w:rsidRPr="005F0BFA">
        <w:t>yeast</w:t>
      </w:r>
      <w:r w:rsidR="00F82AD6">
        <w:t>,</w:t>
      </w:r>
      <w:r w:rsidR="00F82AD6" w:rsidRPr="005F0BFA">
        <w:t xml:space="preserve"> </w:t>
      </w:r>
      <w:r w:rsidR="00F82AD6">
        <w:t xml:space="preserve">and egg based </w:t>
      </w:r>
      <w:r w:rsidR="00F82AD6" w:rsidRPr="00466366">
        <w:t>products</w:t>
      </w:r>
      <w:r w:rsidR="009E4373">
        <w:t>.</w:t>
      </w:r>
      <w:r w:rsidR="00203E94">
        <w:rPr>
          <w:rStyle w:val="FootnoteReference"/>
          <w:lang w:bidi="ar-SA"/>
        </w:rPr>
        <w:footnoteReference w:id="3"/>
      </w:r>
      <w:r w:rsidRPr="00590981">
        <w:t xml:space="preserve"> </w:t>
      </w:r>
    </w:p>
    <w:p w14:paraId="3E2CC5EB" w14:textId="1F7536E2" w:rsidR="00796463" w:rsidRDefault="00796463" w:rsidP="00796463"/>
    <w:p w14:paraId="3D786F35" w14:textId="76386CAA" w:rsidR="00EF2A12" w:rsidRDefault="00796463" w:rsidP="00EF2A12">
      <w:r w:rsidRPr="009F2959">
        <w:t xml:space="preserve">The approved draft </w:t>
      </w:r>
      <w:r w:rsidRPr="00CA3CAF">
        <w:t>variation</w:t>
      </w:r>
      <w:r w:rsidR="00570CFC">
        <w:t xml:space="preserve"> </w:t>
      </w:r>
      <w:r w:rsidRPr="009F2959">
        <w:t xml:space="preserve">is </w:t>
      </w:r>
      <w:r>
        <w:t xml:space="preserve">at </w:t>
      </w:r>
      <w:r w:rsidRPr="007C22CB">
        <w:t>Attachment A</w:t>
      </w:r>
      <w:r>
        <w:t xml:space="preserve">. </w:t>
      </w:r>
      <w:r w:rsidR="00EF2A12" w:rsidRPr="009F2959">
        <w:t>The</w:t>
      </w:r>
      <w:r w:rsidR="00EF2A12" w:rsidRPr="00CA3CAF">
        <w:t xml:space="preserve"> variation</w:t>
      </w:r>
      <w:r w:rsidR="00EF2A12" w:rsidRPr="009F2959">
        <w:t xml:space="preserve"> takes effect on the date of gazettal.</w:t>
      </w:r>
      <w:r w:rsidR="00EF2A12">
        <w:t xml:space="preserve"> </w:t>
      </w:r>
    </w:p>
    <w:p w14:paraId="4534CA16" w14:textId="77777777" w:rsidR="008206C5" w:rsidRDefault="008206C5" w:rsidP="002C1A3B"/>
    <w:p w14:paraId="68EBA240" w14:textId="2E6BB643" w:rsidR="00401ADE" w:rsidRDefault="00796463" w:rsidP="00401ADE">
      <w:r>
        <w:t xml:space="preserve">The related explanatory statement is at Attachment B. An </w:t>
      </w:r>
      <w:r w:rsidRPr="00D26814">
        <w:t xml:space="preserve">explanatory statement is required to accompany </w:t>
      </w:r>
      <w:r>
        <w:t>an</w:t>
      </w:r>
      <w:r w:rsidRPr="00D26814">
        <w:t xml:space="preserve"> instrument </w:t>
      </w:r>
      <w:r w:rsidR="00482114">
        <w:t>that</w:t>
      </w:r>
      <w:r>
        <w:t xml:space="preserve"> is</w:t>
      </w:r>
      <w:r w:rsidRPr="00D26814">
        <w:t xml:space="preserve"> lodged on the Federal Register of Legislati</w:t>
      </w:r>
      <w:r>
        <w:t>on</w:t>
      </w:r>
      <w:r w:rsidR="00DD764F">
        <w:t xml:space="preserve">. </w:t>
      </w:r>
    </w:p>
    <w:p w14:paraId="5D09B9C2" w14:textId="167B9499" w:rsidR="0012388D" w:rsidRPr="00CF32C6" w:rsidRDefault="007A53BF" w:rsidP="00755F02">
      <w:pPr>
        <w:pStyle w:val="Heading1"/>
      </w:pPr>
      <w:bookmarkStart w:id="39" w:name="_Toc506902858"/>
      <w:bookmarkStart w:id="40" w:name="_Toc11735630"/>
      <w:bookmarkStart w:id="41" w:name="_Toc29883114"/>
      <w:bookmarkStart w:id="42" w:name="_Toc41906801"/>
      <w:bookmarkStart w:id="43" w:name="_Toc41907548"/>
      <w:bookmarkStart w:id="44" w:name="_Toc120358578"/>
      <w:bookmarkStart w:id="45" w:name="_Toc175381435"/>
      <w:bookmarkEnd w:id="5"/>
      <w:bookmarkEnd w:id="6"/>
      <w:bookmarkEnd w:id="7"/>
      <w:bookmarkEnd w:id="8"/>
      <w:bookmarkEnd w:id="9"/>
      <w:r w:rsidRPr="00CF32C6">
        <w:t>2</w:t>
      </w:r>
      <w:r w:rsidR="00AC428E" w:rsidRPr="00CF32C6">
        <w:tab/>
      </w:r>
      <w:r w:rsidR="00AF387F" w:rsidRPr="00CF32C6">
        <w:t xml:space="preserve">Summary </w:t>
      </w:r>
      <w:r w:rsidR="00AF387F" w:rsidRPr="00CF32C6">
        <w:rPr>
          <w:u w:color="FFFF00"/>
        </w:rPr>
        <w:t>of</w:t>
      </w:r>
      <w:r w:rsidR="00AF387F" w:rsidRPr="00CF32C6">
        <w:t xml:space="preserve"> the findings</w:t>
      </w:r>
      <w:bookmarkEnd w:id="39"/>
    </w:p>
    <w:p w14:paraId="59283C37" w14:textId="77777777" w:rsidR="007A53BF" w:rsidRPr="002C1A3B" w:rsidRDefault="007A53BF" w:rsidP="007A53BF">
      <w:pPr>
        <w:pStyle w:val="Heading2"/>
      </w:pPr>
      <w:bookmarkStart w:id="46" w:name="_Toc300933438"/>
      <w:bookmarkStart w:id="47" w:name="_Toc370223471"/>
      <w:bookmarkStart w:id="48" w:name="_Toc370225386"/>
      <w:bookmarkStart w:id="49" w:name="_Toc506902859"/>
      <w:bookmarkStart w:id="50" w:name="_Toc286391009"/>
      <w:bookmarkStart w:id="51" w:name="_Toc300933425"/>
      <w:bookmarkStart w:id="52" w:name="_Toc309291838"/>
      <w:bookmarkStart w:id="53" w:name="_Toc309385455"/>
      <w:bookmarkStart w:id="54" w:name="_Toc120358583"/>
      <w:bookmarkStart w:id="55" w:name="_Toc175381440"/>
      <w:r w:rsidRPr="002C1A3B">
        <w:t>2.1</w:t>
      </w:r>
      <w:r w:rsidRPr="002C1A3B">
        <w:tab/>
        <w:t xml:space="preserve">Summary of issues raised </w:t>
      </w:r>
      <w:bookmarkEnd w:id="46"/>
      <w:r w:rsidRPr="002C1A3B">
        <w:t>in submissions</w:t>
      </w:r>
      <w:bookmarkEnd w:id="47"/>
      <w:bookmarkEnd w:id="48"/>
      <w:bookmarkEnd w:id="49"/>
    </w:p>
    <w:p w14:paraId="46B76004" w14:textId="4796A4E9" w:rsidR="00921D5D" w:rsidRPr="00FF5179" w:rsidRDefault="005072E9" w:rsidP="00CF32C6">
      <w:pPr>
        <w:rPr>
          <w:rFonts w:cs="Arial"/>
          <w:szCs w:val="22"/>
          <w:lang w:bidi="ar-SA"/>
        </w:rPr>
      </w:pPr>
      <w:r>
        <w:rPr>
          <w:szCs w:val="22"/>
        </w:rPr>
        <w:t xml:space="preserve">FSANZ called for </w:t>
      </w:r>
      <w:r w:rsidR="00CF32C6">
        <w:rPr>
          <w:szCs w:val="22"/>
        </w:rPr>
        <w:t xml:space="preserve">submissions on a proposed draft variation to Schedule 18 on </w:t>
      </w:r>
      <w:r w:rsidR="00CF32C6" w:rsidRPr="003E2A6A">
        <w:rPr>
          <w:szCs w:val="22"/>
        </w:rPr>
        <w:t>21</w:t>
      </w:r>
      <w:r w:rsidR="00E66A6E">
        <w:rPr>
          <w:szCs w:val="22"/>
        </w:rPr>
        <w:t xml:space="preserve"> </w:t>
      </w:r>
      <w:r w:rsidR="00CF32C6" w:rsidRPr="003E2A6A">
        <w:rPr>
          <w:szCs w:val="22"/>
        </w:rPr>
        <w:t>September 2017</w:t>
      </w:r>
      <w:r w:rsidR="00DD764F">
        <w:rPr>
          <w:szCs w:val="22"/>
        </w:rPr>
        <w:t xml:space="preserve">. </w:t>
      </w:r>
      <w:r w:rsidR="004A151D">
        <w:rPr>
          <w:lang w:bidi="ar-SA"/>
        </w:rPr>
        <w:t>Seven</w:t>
      </w:r>
      <w:r w:rsidR="00921D5D" w:rsidRPr="002640EC">
        <w:rPr>
          <w:lang w:bidi="ar-SA"/>
        </w:rPr>
        <w:t xml:space="preserve"> </w:t>
      </w:r>
      <w:r w:rsidR="00921D5D" w:rsidRPr="003E0439">
        <w:rPr>
          <w:lang w:bidi="ar-SA"/>
        </w:rPr>
        <w:t>submissions were received</w:t>
      </w:r>
      <w:r w:rsidR="00921D5D">
        <w:rPr>
          <w:lang w:bidi="ar-SA"/>
        </w:rPr>
        <w:t>.</w:t>
      </w:r>
      <w:r w:rsidR="006A5CB8">
        <w:rPr>
          <w:lang w:bidi="ar-SA"/>
        </w:rPr>
        <w:t xml:space="preserve"> </w:t>
      </w:r>
      <w:r w:rsidR="007F2309">
        <w:rPr>
          <w:lang w:bidi="ar-SA"/>
        </w:rPr>
        <w:t>T</w:t>
      </w:r>
      <w:r w:rsidR="006A5CB8" w:rsidRPr="001C1487">
        <w:rPr>
          <w:bCs/>
          <w:lang w:val="en-NZ" w:bidi="ar-SA"/>
        </w:rPr>
        <w:t xml:space="preserve">he </w:t>
      </w:r>
      <w:r w:rsidR="00CF32C6">
        <w:rPr>
          <w:bCs/>
          <w:lang w:val="en-NZ" w:bidi="ar-SA"/>
        </w:rPr>
        <w:t xml:space="preserve">Victorian </w:t>
      </w:r>
      <w:r>
        <w:rPr>
          <w:bCs/>
          <w:lang w:val="en-NZ" w:bidi="ar-SA"/>
        </w:rPr>
        <w:t>Department</w:t>
      </w:r>
      <w:r w:rsidR="001661B8">
        <w:rPr>
          <w:bCs/>
          <w:lang w:val="en-NZ" w:bidi="ar-SA"/>
        </w:rPr>
        <w:t>s</w:t>
      </w:r>
      <w:r w:rsidR="007F2309">
        <w:rPr>
          <w:bCs/>
          <w:lang w:val="en-NZ" w:bidi="ar-SA"/>
        </w:rPr>
        <w:t xml:space="preserve"> of </w:t>
      </w:r>
      <w:r w:rsidR="00CF32C6">
        <w:rPr>
          <w:bCs/>
          <w:lang w:val="en-NZ" w:bidi="ar-SA"/>
        </w:rPr>
        <w:t>Health</w:t>
      </w:r>
      <w:r w:rsidR="001661B8">
        <w:rPr>
          <w:bCs/>
          <w:lang w:val="en-NZ" w:bidi="ar-SA"/>
        </w:rPr>
        <w:t xml:space="preserve"> and Human Services,</w:t>
      </w:r>
      <w:r w:rsidR="00CF32C6">
        <w:rPr>
          <w:bCs/>
          <w:lang w:val="en-NZ" w:bidi="ar-SA"/>
        </w:rPr>
        <w:t xml:space="preserve"> </w:t>
      </w:r>
      <w:r w:rsidR="007F2309">
        <w:rPr>
          <w:bCs/>
          <w:lang w:val="en-NZ" w:bidi="ar-SA"/>
        </w:rPr>
        <w:t xml:space="preserve">and </w:t>
      </w:r>
      <w:r w:rsidR="00CF32C6">
        <w:rPr>
          <w:bCs/>
          <w:lang w:val="en-NZ" w:bidi="ar-SA"/>
        </w:rPr>
        <w:t>Economic Development</w:t>
      </w:r>
      <w:r w:rsidR="001661B8">
        <w:rPr>
          <w:bCs/>
          <w:lang w:val="en-NZ" w:bidi="ar-SA"/>
        </w:rPr>
        <w:t>, Jobs, Transport and Resources;</w:t>
      </w:r>
      <w:r w:rsidR="006A5CB8">
        <w:rPr>
          <w:bCs/>
          <w:lang w:val="en-NZ" w:bidi="ar-SA"/>
        </w:rPr>
        <w:t xml:space="preserve"> the New Zealand Food </w:t>
      </w:r>
      <w:r w:rsidR="007F2309">
        <w:rPr>
          <w:bCs/>
          <w:lang w:val="en-NZ" w:bidi="ar-SA"/>
        </w:rPr>
        <w:t>and</w:t>
      </w:r>
      <w:r w:rsidR="006A5CB8">
        <w:rPr>
          <w:bCs/>
          <w:lang w:val="en-NZ" w:bidi="ar-SA"/>
        </w:rPr>
        <w:t xml:space="preserve"> Grocery Council and the New Zealand Ministry for Primary Industries</w:t>
      </w:r>
      <w:r w:rsidR="007F2309">
        <w:rPr>
          <w:bCs/>
          <w:lang w:val="en-NZ" w:bidi="ar-SA"/>
        </w:rPr>
        <w:t xml:space="preserve"> supported the application.</w:t>
      </w:r>
      <w:r w:rsidR="00E53C71">
        <w:rPr>
          <w:bCs/>
          <w:lang w:val="en-NZ" w:bidi="ar-SA"/>
        </w:rPr>
        <w:t xml:space="preserve"> The Food Intolerance Network, </w:t>
      </w:r>
      <w:r w:rsidR="00E53C71">
        <w:rPr>
          <w:lang w:val="en-AU"/>
        </w:rPr>
        <w:t xml:space="preserve">South Australia Health and </w:t>
      </w:r>
      <w:r w:rsidR="00FF5179">
        <w:rPr>
          <w:lang w:val="en-AU"/>
        </w:rPr>
        <w:t xml:space="preserve">the </w:t>
      </w:r>
      <w:r w:rsidR="00FF5179" w:rsidRPr="00342740">
        <w:rPr>
          <w:lang w:val="en-NZ"/>
        </w:rPr>
        <w:t>N</w:t>
      </w:r>
      <w:r w:rsidR="00FF5179">
        <w:rPr>
          <w:lang w:val="en-NZ"/>
        </w:rPr>
        <w:t xml:space="preserve">ew </w:t>
      </w:r>
      <w:r w:rsidR="00FF5179" w:rsidRPr="00342740">
        <w:rPr>
          <w:lang w:val="en-NZ"/>
        </w:rPr>
        <w:t>Z</w:t>
      </w:r>
      <w:r w:rsidR="00FF5179">
        <w:rPr>
          <w:lang w:val="en-NZ"/>
        </w:rPr>
        <w:t>ealand</w:t>
      </w:r>
      <w:r w:rsidR="00FF5179" w:rsidRPr="00342740">
        <w:rPr>
          <w:lang w:val="en-NZ"/>
        </w:rPr>
        <w:t xml:space="preserve"> Institute for Plant &amp; Food Research</w:t>
      </w:r>
      <w:r w:rsidR="00FF5179">
        <w:rPr>
          <w:lang w:val="en-NZ"/>
        </w:rPr>
        <w:t xml:space="preserve"> raise</w:t>
      </w:r>
      <w:r w:rsidR="00E66A6E">
        <w:rPr>
          <w:lang w:val="en-NZ"/>
        </w:rPr>
        <w:t>d concerns with aspects of the A</w:t>
      </w:r>
      <w:r w:rsidR="00FF5179">
        <w:rPr>
          <w:lang w:val="en-NZ"/>
        </w:rPr>
        <w:t xml:space="preserve">pplication or the draft variation. </w:t>
      </w:r>
      <w:r w:rsidR="00FF5179" w:rsidRPr="00FF5179">
        <w:rPr>
          <w:rFonts w:cs="Arial"/>
          <w:szCs w:val="22"/>
          <w:lang w:val="en-NZ"/>
        </w:rPr>
        <w:t xml:space="preserve">The </w:t>
      </w:r>
      <w:r w:rsidR="00FF5179" w:rsidRPr="00FF5179">
        <w:rPr>
          <w:rFonts w:cs="Arial"/>
          <w:bCs/>
          <w:szCs w:val="22"/>
          <w:lang w:val="en-NZ" w:bidi="ar-SA"/>
        </w:rPr>
        <w:t xml:space="preserve">Food Intolerance Network also </w:t>
      </w:r>
      <w:r w:rsidR="008711F5">
        <w:rPr>
          <w:rFonts w:cs="Arial"/>
          <w:bCs/>
          <w:szCs w:val="22"/>
          <w:lang w:val="en-NZ" w:bidi="ar-SA"/>
        </w:rPr>
        <w:t>submitted</w:t>
      </w:r>
      <w:r w:rsidR="00FF5179" w:rsidRPr="00FF5179">
        <w:rPr>
          <w:rFonts w:cs="Arial"/>
          <w:bCs/>
          <w:szCs w:val="22"/>
          <w:lang w:val="en-NZ" w:bidi="ar-SA"/>
        </w:rPr>
        <w:t xml:space="preserve"> a</w:t>
      </w:r>
      <w:r w:rsidR="00FF5179">
        <w:rPr>
          <w:rFonts w:cs="Arial"/>
          <w:bCs/>
          <w:szCs w:val="22"/>
          <w:lang w:val="en-NZ" w:bidi="ar-SA"/>
        </w:rPr>
        <w:t xml:space="preserve"> copy of</w:t>
      </w:r>
      <w:r w:rsidR="00FF5179" w:rsidRPr="00FF5179">
        <w:rPr>
          <w:rFonts w:cs="Arial"/>
          <w:bCs/>
          <w:szCs w:val="22"/>
          <w:lang w:val="en-NZ" w:bidi="ar-SA"/>
        </w:rPr>
        <w:t xml:space="preserve"> </w:t>
      </w:r>
      <w:r w:rsidR="00F24B42">
        <w:rPr>
          <w:rFonts w:cs="Arial"/>
          <w:bCs/>
          <w:szCs w:val="22"/>
          <w:lang w:val="en-NZ" w:bidi="ar-SA"/>
        </w:rPr>
        <w:t xml:space="preserve">an </w:t>
      </w:r>
      <w:r w:rsidR="00FF5179" w:rsidRPr="00FF5179">
        <w:rPr>
          <w:rFonts w:cs="Arial"/>
          <w:bCs/>
          <w:szCs w:val="22"/>
          <w:lang w:val="en-NZ" w:bidi="ar-SA"/>
        </w:rPr>
        <w:t xml:space="preserve">online petition signed by over 11,000 people, via Change.Org, </w:t>
      </w:r>
      <w:r w:rsidR="002A1F64">
        <w:rPr>
          <w:rFonts w:cs="Arial"/>
          <w:bCs/>
          <w:szCs w:val="22"/>
          <w:lang w:val="en-NZ" w:bidi="ar-SA"/>
        </w:rPr>
        <w:t>requesting FSANZ ‘reject</w:t>
      </w:r>
      <w:r w:rsidR="00FF5179" w:rsidRPr="00FF5179">
        <w:rPr>
          <w:rFonts w:cs="Arial"/>
          <w:bCs/>
          <w:szCs w:val="22"/>
          <w:lang w:val="en-NZ" w:bidi="ar-SA"/>
        </w:rPr>
        <w:t xml:space="preserve"> </w:t>
      </w:r>
      <w:r w:rsidR="00FF5179" w:rsidRPr="002A1F64">
        <w:rPr>
          <w:rFonts w:cs="Arial"/>
          <w:szCs w:val="22"/>
          <w:lang w:eastAsia="en-GB" w:bidi="ar-SA"/>
        </w:rPr>
        <w:t>hiding MSG in foods’</w:t>
      </w:r>
      <w:r w:rsidR="00FF5179">
        <w:rPr>
          <w:rFonts w:cs="Arial"/>
          <w:szCs w:val="22"/>
          <w:lang w:eastAsia="en-GB" w:bidi="ar-SA"/>
        </w:rPr>
        <w:t>.</w:t>
      </w:r>
      <w:r w:rsidR="00FF5179" w:rsidRPr="00FF5179">
        <w:rPr>
          <w:rFonts w:cs="Arial"/>
          <w:bCs/>
          <w:szCs w:val="22"/>
          <w:lang w:val="en-NZ" w:bidi="ar-SA"/>
        </w:rPr>
        <w:t xml:space="preserve"> </w:t>
      </w:r>
    </w:p>
    <w:p w14:paraId="03EB64FB" w14:textId="77777777" w:rsidR="00921D5D" w:rsidRPr="003E0439" w:rsidRDefault="00921D5D" w:rsidP="00921D5D">
      <w:pPr>
        <w:rPr>
          <w:lang w:bidi="ar-SA"/>
        </w:rPr>
      </w:pPr>
    </w:p>
    <w:p w14:paraId="1D7DE9A9" w14:textId="29FA011A" w:rsidR="005072E9" w:rsidRDefault="007F2309" w:rsidP="00921D5D">
      <w:pPr>
        <w:rPr>
          <w:lang w:bidi="ar-SA"/>
        </w:rPr>
      </w:pPr>
      <w:r>
        <w:rPr>
          <w:lang w:bidi="ar-SA"/>
        </w:rPr>
        <w:t>I</w:t>
      </w:r>
      <w:r w:rsidR="00921D5D" w:rsidRPr="003E0439">
        <w:rPr>
          <w:lang w:bidi="ar-SA"/>
        </w:rPr>
        <w:t>ssues raised in submissions and FSANZ’s responses are detailed in Table 1.</w:t>
      </w:r>
    </w:p>
    <w:p w14:paraId="585AFD28" w14:textId="77777777" w:rsidR="005B72B2" w:rsidRDefault="005B72B2" w:rsidP="00921D5D">
      <w:pPr>
        <w:rPr>
          <w:lang w:bidi="ar-SA"/>
        </w:rPr>
      </w:pPr>
    </w:p>
    <w:p w14:paraId="0EEE83A4" w14:textId="77777777" w:rsidR="00923A74" w:rsidRDefault="00923A74">
      <w:pPr>
        <w:widowControl/>
        <w:rPr>
          <w:lang w:bidi="ar-SA"/>
        </w:rPr>
        <w:sectPr w:rsidR="00923A74" w:rsidSect="00B222FA">
          <w:pgSz w:w="11906" w:h="16838" w:code="9"/>
          <w:pgMar w:top="1080" w:right="1418" w:bottom="1418" w:left="1418" w:header="709" w:footer="709" w:gutter="0"/>
          <w:cols w:space="708"/>
          <w:docGrid w:linePitch="360"/>
        </w:sectPr>
      </w:pPr>
    </w:p>
    <w:p w14:paraId="2E55A4F3" w14:textId="1AE99B10" w:rsidR="00570CFC" w:rsidRDefault="00570CFC">
      <w:pPr>
        <w:widowControl/>
        <w:rPr>
          <w:lang w:bidi="ar-SA"/>
        </w:rPr>
      </w:pPr>
    </w:p>
    <w:p w14:paraId="62099757" w14:textId="0CFD19D6" w:rsidR="00570CFC" w:rsidRPr="00AA0483" w:rsidRDefault="005B72B2" w:rsidP="005B72B2">
      <w:pPr>
        <w:rPr>
          <w:rFonts w:cs="Arial"/>
          <w:b/>
        </w:rPr>
      </w:pPr>
      <w:r>
        <w:rPr>
          <w:lang w:bidi="ar-SA"/>
        </w:rPr>
        <w:t xml:space="preserve">Table 1 summary of submissions </w:t>
      </w:r>
    </w:p>
    <w:tbl>
      <w:tblPr>
        <w:tblStyle w:val="MediumShading1-Accent3"/>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missions "/>
      </w:tblPr>
      <w:tblGrid>
        <w:gridCol w:w="6120"/>
        <w:gridCol w:w="1350"/>
        <w:gridCol w:w="7380"/>
      </w:tblGrid>
      <w:tr w:rsidR="006F34FD" w14:paraId="7D6EB99C" w14:textId="77777777" w:rsidTr="00FB69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6B02D73F" w14:textId="114807A5" w:rsidR="00114958" w:rsidRPr="00B071F6" w:rsidRDefault="00114958" w:rsidP="00E30195">
            <w:pPr>
              <w:pStyle w:val="FSTableText"/>
              <w:rPr>
                <w:color w:val="auto"/>
                <w:lang w:val="en-NZ"/>
              </w:rPr>
            </w:pPr>
            <w:r w:rsidRPr="00114958">
              <w:rPr>
                <w:lang w:val="en-NZ"/>
              </w:rPr>
              <w:t xml:space="preserve">Issue </w:t>
            </w:r>
          </w:p>
        </w:tc>
        <w:tc>
          <w:tcPr>
            <w:tcW w:w="1350" w:type="dxa"/>
            <w:tcBorders>
              <w:left w:val="single" w:sz="4" w:space="0" w:color="auto"/>
              <w:right w:val="single" w:sz="4" w:space="0" w:color="auto"/>
            </w:tcBorders>
          </w:tcPr>
          <w:p w14:paraId="670883FF" w14:textId="135A029C" w:rsidR="00114958" w:rsidRPr="00B071F6" w:rsidRDefault="00114958" w:rsidP="00E30195">
            <w:pPr>
              <w:pStyle w:val="FSTableText"/>
              <w:cnfStyle w:val="100000000000" w:firstRow="1" w:lastRow="0" w:firstColumn="0" w:lastColumn="0" w:oddVBand="0" w:evenVBand="0" w:oddHBand="0" w:evenHBand="0" w:firstRowFirstColumn="0" w:firstRowLastColumn="0" w:lastRowFirstColumn="0" w:lastRowLastColumn="0"/>
              <w:rPr>
                <w:color w:val="auto"/>
                <w:lang w:val="en-NZ"/>
              </w:rPr>
            </w:pPr>
            <w:r w:rsidRPr="00114958">
              <w:rPr>
                <w:lang w:val="en-NZ"/>
              </w:rPr>
              <w:t>Submitter</w:t>
            </w:r>
          </w:p>
        </w:tc>
        <w:tc>
          <w:tcPr>
            <w:tcW w:w="7380" w:type="dxa"/>
            <w:tcBorders>
              <w:left w:val="single" w:sz="4" w:space="0" w:color="auto"/>
              <w:bottom w:val="single" w:sz="4" w:space="0" w:color="auto"/>
            </w:tcBorders>
          </w:tcPr>
          <w:p w14:paraId="4CBCAE12" w14:textId="7F22E0F3" w:rsidR="00114958" w:rsidRPr="00B071F6" w:rsidRDefault="00114958" w:rsidP="00E30195">
            <w:pPr>
              <w:pStyle w:val="FSTableText"/>
              <w:cnfStyle w:val="100000000000" w:firstRow="1" w:lastRow="0" w:firstColumn="0" w:lastColumn="0" w:oddVBand="0" w:evenVBand="0" w:oddHBand="0" w:evenHBand="0" w:firstRowFirstColumn="0" w:firstRowLastColumn="0" w:lastRowFirstColumn="0" w:lastRowLastColumn="0"/>
              <w:rPr>
                <w:color w:val="auto"/>
                <w:lang w:val="en-AU"/>
              </w:rPr>
            </w:pPr>
            <w:r w:rsidRPr="00114958">
              <w:rPr>
                <w:lang w:val="en-AU"/>
              </w:rPr>
              <w:t>Response</w:t>
            </w:r>
          </w:p>
        </w:tc>
      </w:tr>
      <w:tr w:rsidR="00362882" w14:paraId="6C825332" w14:textId="77777777" w:rsidTr="00FB69C6">
        <w:trPr>
          <w:cnfStyle w:val="000000100000" w:firstRow="0" w:lastRow="0" w:firstColumn="0" w:lastColumn="0" w:oddVBand="0" w:evenVBand="0" w:oddHBand="1" w:evenHBand="0" w:firstRowFirstColumn="0" w:firstRowLastColumn="0" w:lastRowFirstColumn="0" w:lastRowLastColumn="0"/>
          <w:trHeight w:val="3168"/>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12C97A26" w14:textId="1433076A" w:rsidR="00186868" w:rsidRDefault="00186868" w:rsidP="00186868">
            <w:pPr>
              <w:pStyle w:val="FSTableText"/>
              <w:rPr>
                <w:lang w:val="en-NZ"/>
              </w:rPr>
            </w:pPr>
            <w:r>
              <w:rPr>
                <w:lang w:val="en-NZ"/>
              </w:rPr>
              <w:t>P</w:t>
            </w:r>
            <w:r w:rsidRPr="00B071F6">
              <w:rPr>
                <w:lang w:val="en-NZ"/>
              </w:rPr>
              <w:t>rotein glutaminase is a food additive and not a processing aid and therefore is required to be shown i</w:t>
            </w:r>
            <w:r>
              <w:rPr>
                <w:lang w:val="en-NZ"/>
              </w:rPr>
              <w:t>n the statement of ingredients.</w:t>
            </w:r>
          </w:p>
          <w:p w14:paraId="10DAF85D" w14:textId="77777777" w:rsidR="00186868" w:rsidRDefault="00186868" w:rsidP="00362882">
            <w:pPr>
              <w:autoSpaceDE w:val="0"/>
              <w:autoSpaceDN w:val="0"/>
              <w:adjustRightInd w:val="0"/>
              <w:rPr>
                <w:rFonts w:cs="Arial"/>
                <w:sz w:val="20"/>
                <w:szCs w:val="20"/>
              </w:rPr>
            </w:pPr>
          </w:p>
          <w:p w14:paraId="6571DC58" w14:textId="424D9999" w:rsidR="00186868" w:rsidRDefault="00362882" w:rsidP="00362882">
            <w:pPr>
              <w:autoSpaceDE w:val="0"/>
              <w:autoSpaceDN w:val="0"/>
              <w:adjustRightInd w:val="0"/>
              <w:rPr>
                <w:rFonts w:cs="Arial"/>
                <w:sz w:val="20"/>
                <w:szCs w:val="20"/>
              </w:rPr>
            </w:pPr>
            <w:r w:rsidRPr="00923A74">
              <w:rPr>
                <w:rFonts w:cs="Arial"/>
                <w:sz w:val="20"/>
                <w:szCs w:val="20"/>
              </w:rPr>
              <w:t xml:space="preserve">The products of the enzyme </w:t>
            </w:r>
            <w:r w:rsidR="000E0C7C">
              <w:rPr>
                <w:rFonts w:cs="Arial"/>
                <w:sz w:val="20"/>
                <w:szCs w:val="20"/>
              </w:rPr>
              <w:t>p</w:t>
            </w:r>
            <w:r w:rsidRPr="00923A74">
              <w:rPr>
                <w:rFonts w:cs="Arial"/>
                <w:sz w:val="20"/>
                <w:szCs w:val="20"/>
              </w:rPr>
              <w:t xml:space="preserve">rotein </w:t>
            </w:r>
            <w:r w:rsidR="000E0C7C">
              <w:rPr>
                <w:rFonts w:cs="Arial"/>
                <w:sz w:val="20"/>
                <w:szCs w:val="20"/>
              </w:rPr>
              <w:t>g</w:t>
            </w:r>
            <w:r w:rsidRPr="00923A74">
              <w:rPr>
                <w:rFonts w:cs="Arial"/>
                <w:sz w:val="20"/>
                <w:szCs w:val="20"/>
              </w:rPr>
              <w:t>lutaminase perform a ‘technological function’ in the food for sale. This function is flavour enhancement. This enzyme is designed to</w:t>
            </w:r>
            <w:r w:rsidR="001B5CF8">
              <w:rPr>
                <w:rFonts w:cs="Arial"/>
                <w:sz w:val="20"/>
                <w:szCs w:val="20"/>
              </w:rPr>
              <w:t>,</w:t>
            </w:r>
            <w:r w:rsidRPr="00923A74">
              <w:rPr>
                <w:rFonts w:cs="Arial"/>
                <w:sz w:val="20"/>
                <w:szCs w:val="20"/>
              </w:rPr>
              <w:t xml:space="preserve"> and will</w:t>
            </w:r>
            <w:r w:rsidR="001B5CF8">
              <w:rPr>
                <w:rFonts w:cs="Arial"/>
                <w:sz w:val="20"/>
                <w:szCs w:val="20"/>
              </w:rPr>
              <w:t>,</w:t>
            </w:r>
            <w:r w:rsidRPr="00923A74">
              <w:rPr>
                <w:rFonts w:cs="Arial"/>
                <w:sz w:val="20"/>
                <w:szCs w:val="20"/>
              </w:rPr>
              <w:t xml:space="preserve"> produce free glutamates which are flavour enhancers.  </w:t>
            </w:r>
          </w:p>
          <w:p w14:paraId="4879F987" w14:textId="77777777" w:rsidR="00186868" w:rsidRDefault="00186868" w:rsidP="00362882">
            <w:pPr>
              <w:autoSpaceDE w:val="0"/>
              <w:autoSpaceDN w:val="0"/>
              <w:adjustRightInd w:val="0"/>
              <w:rPr>
                <w:rFonts w:cs="Arial"/>
                <w:sz w:val="20"/>
                <w:szCs w:val="20"/>
              </w:rPr>
            </w:pPr>
          </w:p>
          <w:p w14:paraId="5E065C64" w14:textId="0AF21C97" w:rsidR="00362882" w:rsidRPr="008631F9" w:rsidRDefault="00362882" w:rsidP="00362882">
            <w:pPr>
              <w:autoSpaceDE w:val="0"/>
              <w:autoSpaceDN w:val="0"/>
              <w:adjustRightInd w:val="0"/>
              <w:rPr>
                <w:rFonts w:cs="Arial"/>
                <w:sz w:val="20"/>
                <w:szCs w:val="20"/>
              </w:rPr>
            </w:pPr>
            <w:r w:rsidRPr="003177D1">
              <w:rPr>
                <w:rFonts w:cs="Arial"/>
                <w:sz w:val="20"/>
                <w:szCs w:val="20"/>
              </w:rPr>
              <w:t xml:space="preserve">The Application states that the use of enzyme </w:t>
            </w:r>
            <w:r w:rsidRPr="003177D1">
              <w:rPr>
                <w:rFonts w:cs="Arial"/>
                <w:i/>
                <w:iCs/>
                <w:sz w:val="20"/>
                <w:szCs w:val="20"/>
              </w:rPr>
              <w:t xml:space="preserve">also </w:t>
            </w:r>
            <w:r w:rsidR="001B5CF8">
              <w:rPr>
                <w:rFonts w:cs="Arial"/>
                <w:i/>
                <w:iCs/>
                <w:sz w:val="20"/>
                <w:szCs w:val="20"/>
              </w:rPr>
              <w:t>“</w:t>
            </w:r>
            <w:r w:rsidRPr="003177D1">
              <w:rPr>
                <w:rFonts w:cs="Arial"/>
                <w:iCs/>
                <w:sz w:val="20"/>
                <w:szCs w:val="20"/>
              </w:rPr>
              <w:t>decreases flavour fade or ‘off flavour’</w:t>
            </w:r>
            <w:r w:rsidRPr="003177D1">
              <w:rPr>
                <w:rFonts w:cs="Arial"/>
                <w:sz w:val="20"/>
                <w:szCs w:val="20"/>
              </w:rPr>
              <w:t xml:space="preserve"> </w:t>
            </w:r>
            <w:r w:rsidRPr="003177D1">
              <w:rPr>
                <w:rFonts w:cs="Arial"/>
                <w:iCs/>
                <w:sz w:val="20"/>
                <w:szCs w:val="20"/>
              </w:rPr>
              <w:t>problems associated with flavour-protein interactions”.</w:t>
            </w:r>
          </w:p>
          <w:p w14:paraId="465BCC56" w14:textId="77777777" w:rsidR="00362882" w:rsidRPr="00362882" w:rsidRDefault="00362882" w:rsidP="00362882">
            <w:pPr>
              <w:autoSpaceDE w:val="0"/>
              <w:autoSpaceDN w:val="0"/>
              <w:adjustRightInd w:val="0"/>
              <w:rPr>
                <w:sz w:val="20"/>
                <w:szCs w:val="20"/>
                <w:lang w:val="en-NZ"/>
              </w:rPr>
            </w:pPr>
          </w:p>
        </w:tc>
        <w:tc>
          <w:tcPr>
            <w:tcW w:w="1350" w:type="dxa"/>
            <w:tcBorders>
              <w:left w:val="single" w:sz="4" w:space="0" w:color="auto"/>
              <w:right w:val="single" w:sz="4" w:space="0" w:color="auto"/>
            </w:tcBorders>
          </w:tcPr>
          <w:p w14:paraId="11159598" w14:textId="77777777" w:rsidR="00362882" w:rsidRPr="00DF4D66" w:rsidRDefault="00362882" w:rsidP="00362882">
            <w:pPr>
              <w:pStyle w:val="FSTableText"/>
              <w:cnfStyle w:val="000000100000" w:firstRow="0" w:lastRow="0" w:firstColumn="0" w:lastColumn="0" w:oddVBand="0" w:evenVBand="0" w:oddHBand="1" w:evenHBand="0" w:firstRowFirstColumn="0" w:firstRowLastColumn="0" w:lastRowFirstColumn="0" w:lastRowLastColumn="0"/>
              <w:rPr>
                <w:lang w:val="en-NZ"/>
              </w:rPr>
            </w:pPr>
            <w:r w:rsidRPr="00DF4D66">
              <w:rPr>
                <w:lang w:val="en-NZ"/>
              </w:rPr>
              <w:t>Food Intolerance</w:t>
            </w:r>
          </w:p>
          <w:p w14:paraId="041897CD" w14:textId="77777777" w:rsidR="00362882" w:rsidRPr="002E2A2F" w:rsidRDefault="00362882" w:rsidP="00362882">
            <w:pPr>
              <w:pStyle w:val="FSTableText"/>
              <w:cnfStyle w:val="000000100000" w:firstRow="0" w:lastRow="0" w:firstColumn="0" w:lastColumn="0" w:oddVBand="0" w:evenVBand="0" w:oddHBand="1" w:evenHBand="0" w:firstRowFirstColumn="0" w:firstRowLastColumn="0" w:lastRowFirstColumn="0" w:lastRowLastColumn="0"/>
              <w:rPr>
                <w:lang w:val="en-NZ"/>
              </w:rPr>
            </w:pPr>
            <w:r w:rsidRPr="00DF4D66">
              <w:rPr>
                <w:lang w:val="en-NZ"/>
              </w:rPr>
              <w:t>Network</w:t>
            </w:r>
            <w:r>
              <w:rPr>
                <w:lang w:val="en-NZ"/>
              </w:rPr>
              <w:t xml:space="preserve"> </w:t>
            </w:r>
          </w:p>
          <w:p w14:paraId="3E845410" w14:textId="77777777" w:rsidR="00362882" w:rsidRDefault="00362882" w:rsidP="00362882">
            <w:pPr>
              <w:pStyle w:val="FSTableText"/>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 </w:t>
            </w:r>
          </w:p>
          <w:p w14:paraId="4ABAC8BF" w14:textId="7599B350" w:rsidR="00362882" w:rsidRPr="00DF4D66" w:rsidRDefault="00362882" w:rsidP="00362882">
            <w:pPr>
              <w:pStyle w:val="FSTableText"/>
              <w:cnfStyle w:val="000000100000" w:firstRow="0" w:lastRow="0" w:firstColumn="0" w:lastColumn="0" w:oddVBand="0" w:evenVBand="0" w:oddHBand="1" w:evenHBand="0" w:firstRowFirstColumn="0" w:firstRowLastColumn="0" w:lastRowFirstColumn="0" w:lastRowLastColumn="0"/>
              <w:rPr>
                <w:lang w:val="en-NZ"/>
              </w:rPr>
            </w:pPr>
            <w:r>
              <w:rPr>
                <w:lang w:val="en-NZ"/>
              </w:rPr>
              <w:t>Petition</w:t>
            </w:r>
          </w:p>
        </w:tc>
        <w:tc>
          <w:tcPr>
            <w:tcW w:w="7380" w:type="dxa"/>
            <w:tcBorders>
              <w:left w:val="single" w:sz="4" w:space="0" w:color="auto"/>
            </w:tcBorders>
          </w:tcPr>
          <w:p w14:paraId="0E6D5FB2" w14:textId="7F4813DA" w:rsidR="00186868" w:rsidRDefault="00186868" w:rsidP="00E30195">
            <w:pPr>
              <w:pStyle w:val="FSTableText"/>
              <w:cnfStyle w:val="000000100000" w:firstRow="0" w:lastRow="0" w:firstColumn="0" w:lastColumn="0" w:oddVBand="0" w:evenVBand="0" w:oddHBand="1" w:evenHBand="0" w:firstRowFirstColumn="0" w:firstRowLastColumn="0" w:lastRowFirstColumn="0" w:lastRowLastColumn="0"/>
            </w:pPr>
            <w:r>
              <w:t xml:space="preserve">The enzyme is </w:t>
            </w:r>
            <w:r w:rsidRPr="00D51698">
              <w:t xml:space="preserve">categorised </w:t>
            </w:r>
            <w:r>
              <w:t xml:space="preserve">as a processing aid </w:t>
            </w:r>
            <w:r w:rsidR="00D709E1">
              <w:t xml:space="preserve">pursuant to </w:t>
            </w:r>
            <w:r>
              <w:t>the Code.</w:t>
            </w:r>
            <w:r>
              <w:br/>
            </w:r>
            <w:r>
              <w:br/>
              <w:t xml:space="preserve">Food </w:t>
            </w:r>
            <w:r w:rsidRPr="00E244DA">
              <w:t>enzyme</w:t>
            </w:r>
            <w:r>
              <w:t>s perform</w:t>
            </w:r>
            <w:r w:rsidRPr="00E244DA">
              <w:t xml:space="preserve"> </w:t>
            </w:r>
            <w:r>
              <w:t xml:space="preserve">their </w:t>
            </w:r>
            <w:r w:rsidRPr="00E244DA">
              <w:t>technological purpose during the manufacture or proce</w:t>
            </w:r>
            <w:r>
              <w:t xml:space="preserve">ssing </w:t>
            </w:r>
            <w:r w:rsidR="00D709E1">
              <w:t xml:space="preserve">of food but play no such function </w:t>
            </w:r>
            <w:r>
              <w:t xml:space="preserve">in the final food. </w:t>
            </w:r>
            <w:r w:rsidR="00D709E1" w:rsidRPr="00D709E1">
              <w:t>Protein glutaminase</w:t>
            </w:r>
            <w:r>
              <w:t xml:space="preserve"> is inactivated by either an increase in heat or a reduction in pH so </w:t>
            </w:r>
            <w:r w:rsidR="00386F8F">
              <w:t>does</w:t>
            </w:r>
            <w:r>
              <w:t xml:space="preserve"> no</w:t>
            </w:r>
            <w:r w:rsidR="00386F8F">
              <w:t>t</w:t>
            </w:r>
            <w:r>
              <w:t xml:space="preserve"> perform a technological purpose in the final product. As such, </w:t>
            </w:r>
            <w:r w:rsidRPr="00E244DA">
              <w:t xml:space="preserve">it is considered a processing aid </w:t>
            </w:r>
            <w:r>
              <w:t>in accordance with</w:t>
            </w:r>
            <w:r w:rsidRPr="00E244DA">
              <w:t xml:space="preserve"> section 1.1.2—13</w:t>
            </w:r>
            <w:r>
              <w:t xml:space="preserve"> of the Code.</w:t>
            </w:r>
          </w:p>
          <w:p w14:paraId="11FCDC69" w14:textId="77777777" w:rsidR="00186868" w:rsidRDefault="00186868" w:rsidP="00E30195">
            <w:pPr>
              <w:pStyle w:val="FSTableText"/>
              <w:cnfStyle w:val="000000100000" w:firstRow="0" w:lastRow="0" w:firstColumn="0" w:lastColumn="0" w:oddVBand="0" w:evenVBand="0" w:oddHBand="1" w:evenHBand="0" w:firstRowFirstColumn="0" w:firstRowLastColumn="0" w:lastRowFirstColumn="0" w:lastRowLastColumn="0"/>
            </w:pPr>
          </w:p>
          <w:p w14:paraId="7C87BBD4" w14:textId="3B9F7603" w:rsidR="00186868" w:rsidRDefault="00186868" w:rsidP="00186868">
            <w:pPr>
              <w:pStyle w:val="FSTableText"/>
              <w:cnfStyle w:val="000000100000" w:firstRow="0" w:lastRow="0" w:firstColumn="0" w:lastColumn="0" w:oddVBand="0" w:evenVBand="0" w:oddHBand="1" w:evenHBand="0" w:firstRowFirstColumn="0" w:firstRowLastColumn="0" w:lastRowFirstColumn="0" w:lastRowLastColumn="0"/>
            </w:pPr>
            <w:r w:rsidRPr="00600BCA">
              <w:t xml:space="preserve">The technological purpose of </w:t>
            </w:r>
            <w:r w:rsidR="000E0C7C">
              <w:t>p</w:t>
            </w:r>
            <w:r w:rsidRPr="00600BCA">
              <w:t xml:space="preserve">rotein </w:t>
            </w:r>
            <w:r w:rsidR="000E0C7C">
              <w:t>g</w:t>
            </w:r>
            <w:r w:rsidRPr="00600BCA">
              <w:t xml:space="preserve">lutaminase is to alter the structure </w:t>
            </w:r>
            <w:r w:rsidR="001B5CF8">
              <w:t xml:space="preserve">and properties </w:t>
            </w:r>
            <w:r w:rsidR="00EC3DDA" w:rsidRPr="00600BCA">
              <w:t>of protein in foods</w:t>
            </w:r>
            <w:r w:rsidR="00EC3DDA">
              <w:t xml:space="preserve"> </w:t>
            </w:r>
            <w:r w:rsidR="001B5CF8">
              <w:t xml:space="preserve">to increase the </w:t>
            </w:r>
            <w:r w:rsidR="00EC3DDA">
              <w:t xml:space="preserve">protein’s </w:t>
            </w:r>
            <w:r w:rsidR="001B5CF8">
              <w:t xml:space="preserve">solubility. </w:t>
            </w:r>
            <w:r w:rsidRPr="00600BCA">
              <w:t>Proteins remain intact during this reaction and no free amino acids (including glutamic acid</w:t>
            </w:r>
            <w:r w:rsidR="009E581D">
              <w:t xml:space="preserve"> and salts such as monosodium glutamate (MSG)</w:t>
            </w:r>
            <w:r w:rsidRPr="00600BCA">
              <w:t>) are produced</w:t>
            </w:r>
            <w:r w:rsidRPr="001661B8">
              <w:t xml:space="preserve">, meaning flavour enhancement </w:t>
            </w:r>
            <w:r w:rsidR="005A22E8">
              <w:t>doe</w:t>
            </w:r>
            <w:r w:rsidR="005A22E8" w:rsidRPr="001661B8">
              <w:t xml:space="preserve">s </w:t>
            </w:r>
            <w:r w:rsidR="008E2EDE" w:rsidRPr="001661B8">
              <w:t xml:space="preserve">not </w:t>
            </w:r>
            <w:r w:rsidR="005A22E8">
              <w:t>occur</w:t>
            </w:r>
            <w:r w:rsidRPr="001661B8">
              <w:t>.</w:t>
            </w:r>
          </w:p>
          <w:p w14:paraId="64CDE88A" w14:textId="77777777" w:rsidR="00186868" w:rsidRDefault="00186868" w:rsidP="00186868">
            <w:pPr>
              <w:pStyle w:val="FSTableText"/>
              <w:cnfStyle w:val="000000100000" w:firstRow="0" w:lastRow="0" w:firstColumn="0" w:lastColumn="0" w:oddVBand="0" w:evenVBand="0" w:oddHBand="1" w:evenHBand="0" w:firstRowFirstColumn="0" w:firstRowLastColumn="0" w:lastRowFirstColumn="0" w:lastRowLastColumn="0"/>
            </w:pPr>
          </w:p>
          <w:p w14:paraId="47F2C526" w14:textId="4F41BA01" w:rsidR="00186868" w:rsidRDefault="00186868" w:rsidP="00186868">
            <w:pPr>
              <w:pStyle w:val="FSTableText"/>
              <w:cnfStyle w:val="000000100000" w:firstRow="0" w:lastRow="0" w:firstColumn="0" w:lastColumn="0" w:oddVBand="0" w:evenVBand="0" w:oddHBand="1" w:evenHBand="0" w:firstRowFirstColumn="0" w:firstRowLastColumn="0" w:lastRowFirstColumn="0" w:lastRowLastColumn="0"/>
            </w:pPr>
            <w:r>
              <w:t>The permission granted</w:t>
            </w:r>
            <w:r w:rsidR="004930B5">
              <w:t xml:space="preserve"> by the approved draft variation</w:t>
            </w:r>
            <w:r>
              <w:t xml:space="preserve"> will not permit the enzyme’s use as a food additive</w:t>
            </w:r>
            <w:r w:rsidR="005A22E8">
              <w:t>, including as a</w:t>
            </w:r>
            <w:r w:rsidR="008631F9">
              <w:t xml:space="preserve"> flavour enhancer</w:t>
            </w:r>
            <w:r>
              <w:t>.</w:t>
            </w:r>
          </w:p>
          <w:p w14:paraId="5BB77AE2" w14:textId="20984BFB" w:rsidR="003177D1" w:rsidRDefault="003177D1" w:rsidP="00186868">
            <w:pPr>
              <w:pStyle w:val="FSTableText"/>
              <w:cnfStyle w:val="000000100000" w:firstRow="0" w:lastRow="0" w:firstColumn="0" w:lastColumn="0" w:oddVBand="0" w:evenVBand="0" w:oddHBand="1" w:evenHBand="0" w:firstRowFirstColumn="0" w:firstRowLastColumn="0" w:lastRowFirstColumn="0" w:lastRowLastColumn="0"/>
            </w:pPr>
          </w:p>
          <w:p w14:paraId="7C5D411F" w14:textId="21D7C9CC" w:rsidR="003177D1" w:rsidRDefault="003177D1" w:rsidP="00186868">
            <w:pPr>
              <w:pStyle w:val="FSTableText"/>
              <w:cnfStyle w:val="000000100000" w:firstRow="0" w:lastRow="0" w:firstColumn="0" w:lastColumn="0" w:oddVBand="0" w:evenVBand="0" w:oddHBand="1" w:evenHBand="0" w:firstRowFirstColumn="0" w:firstRowLastColumn="0" w:lastRowFirstColumn="0" w:lastRowLastColumn="0"/>
            </w:pPr>
            <w:r>
              <w:t xml:space="preserve">The mention of reduction in </w:t>
            </w:r>
            <w:r w:rsidR="009E6197">
              <w:t>“</w:t>
            </w:r>
            <w:r w:rsidR="005A22E8">
              <w:t>off-</w:t>
            </w:r>
            <w:r>
              <w:t>flavours</w:t>
            </w:r>
            <w:r w:rsidR="009E6197">
              <w:t>”</w:t>
            </w:r>
            <w:r>
              <w:t xml:space="preserve"> </w:t>
            </w:r>
            <w:r w:rsidR="00B20A56">
              <w:t xml:space="preserve">in the earlier Call for Submissions report related </w:t>
            </w:r>
            <w:r>
              <w:t xml:space="preserve">to alternative production methods </w:t>
            </w:r>
            <w:r w:rsidR="00B20A56">
              <w:t xml:space="preserve">to using enzymes </w:t>
            </w:r>
            <w:r w:rsidR="008E2EDE">
              <w:t xml:space="preserve">for </w:t>
            </w:r>
            <w:r w:rsidR="00B20A56">
              <w:t xml:space="preserve">protein </w:t>
            </w:r>
            <w:r w:rsidR="008E2EDE">
              <w:t>deamination</w:t>
            </w:r>
            <w:r>
              <w:t>, such as chemical reactions or using heat processes</w:t>
            </w:r>
            <w:r w:rsidR="009E6197">
              <w:t>,</w:t>
            </w:r>
            <w:r>
              <w:t xml:space="preserve"> which cause more </w:t>
            </w:r>
            <w:r w:rsidR="005A22E8">
              <w:t>off-</w:t>
            </w:r>
            <w:r>
              <w:t xml:space="preserve">flavours to develop. The report has been amended to </w:t>
            </w:r>
            <w:r w:rsidR="005A22E8">
              <w:t xml:space="preserve">clarify </w:t>
            </w:r>
            <w:r>
              <w:t>this point.</w:t>
            </w:r>
          </w:p>
          <w:p w14:paraId="7AB4287E" w14:textId="6885048C" w:rsidR="00362882" w:rsidRDefault="00362882" w:rsidP="00186868">
            <w:pPr>
              <w:pStyle w:val="FSTableText"/>
              <w:cnfStyle w:val="000000100000" w:firstRow="0" w:lastRow="0" w:firstColumn="0" w:lastColumn="0" w:oddVBand="0" w:evenVBand="0" w:oddHBand="1" w:evenHBand="0" w:firstRowFirstColumn="0" w:firstRowLastColumn="0" w:lastRowFirstColumn="0" w:lastRowLastColumn="0"/>
            </w:pPr>
          </w:p>
        </w:tc>
      </w:tr>
      <w:tr w:rsidR="00362882" w14:paraId="14F85ED7" w14:textId="77777777" w:rsidTr="00FB69C6">
        <w:trPr>
          <w:cnfStyle w:val="000000010000" w:firstRow="0" w:lastRow="0" w:firstColumn="0" w:lastColumn="0" w:oddVBand="0" w:evenVBand="0" w:oddHBand="0" w:evenHBand="1" w:firstRowFirstColumn="0" w:firstRowLastColumn="0" w:lastRowFirstColumn="0" w:lastRowLastColumn="0"/>
          <w:trHeight w:val="2017"/>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1CD2387C" w14:textId="1E10664F" w:rsidR="00362882" w:rsidRPr="008631F9" w:rsidRDefault="00362882" w:rsidP="00C402A1">
            <w:pPr>
              <w:autoSpaceDE w:val="0"/>
              <w:autoSpaceDN w:val="0"/>
              <w:adjustRightInd w:val="0"/>
            </w:pPr>
            <w:r w:rsidRPr="00362882">
              <w:rPr>
                <w:rFonts w:cs="Arial"/>
                <w:sz w:val="20"/>
                <w:szCs w:val="20"/>
              </w:rPr>
              <w:t>The presence of the enzyme must be declared in labelling due to the public health risks. Some consumers have been scientifically proven to react to the products created by this enzyme (</w:t>
            </w:r>
            <w:r w:rsidR="00740F5F">
              <w:rPr>
                <w:rFonts w:cs="Arial"/>
                <w:sz w:val="20"/>
                <w:szCs w:val="20"/>
              </w:rPr>
              <w:t xml:space="preserve">eg, </w:t>
            </w:r>
            <w:r w:rsidRPr="00362882">
              <w:rPr>
                <w:rFonts w:cs="Arial"/>
                <w:sz w:val="20"/>
                <w:szCs w:val="20"/>
              </w:rPr>
              <w:t xml:space="preserve">due to the elevated levels of glutamates) and so </w:t>
            </w:r>
            <w:r>
              <w:rPr>
                <w:rFonts w:cs="Arial"/>
                <w:sz w:val="20"/>
                <w:szCs w:val="20"/>
              </w:rPr>
              <w:t>must</w:t>
            </w:r>
            <w:r w:rsidRPr="00362882">
              <w:rPr>
                <w:rFonts w:cs="Arial"/>
                <w:sz w:val="20"/>
                <w:szCs w:val="20"/>
              </w:rPr>
              <w:t xml:space="preserve"> avoid these products in foods. They will not be able to do so if permission is given to use this enzyme as </w:t>
            </w:r>
            <w:r w:rsidR="00C402A1">
              <w:rPr>
                <w:rFonts w:cs="Arial"/>
                <w:sz w:val="20"/>
                <w:szCs w:val="20"/>
              </w:rPr>
              <w:t xml:space="preserve">a </w:t>
            </w:r>
            <w:r w:rsidRPr="00362882">
              <w:rPr>
                <w:rFonts w:cs="Arial"/>
                <w:sz w:val="20"/>
                <w:szCs w:val="20"/>
              </w:rPr>
              <w:t>processing aid.</w:t>
            </w:r>
          </w:p>
        </w:tc>
        <w:tc>
          <w:tcPr>
            <w:tcW w:w="1350" w:type="dxa"/>
            <w:tcBorders>
              <w:left w:val="single" w:sz="4" w:space="0" w:color="auto"/>
              <w:right w:val="single" w:sz="4" w:space="0" w:color="auto"/>
            </w:tcBorders>
          </w:tcPr>
          <w:p w14:paraId="104DA511" w14:textId="77777777" w:rsidR="00362882" w:rsidRPr="00DF4D66"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sidRPr="00DF4D66">
              <w:rPr>
                <w:lang w:val="en-NZ"/>
              </w:rPr>
              <w:t>Food Intolerance</w:t>
            </w:r>
          </w:p>
          <w:p w14:paraId="0DC22E08" w14:textId="69B2A9F7" w:rsidR="00362882" w:rsidRPr="002E2A2F"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sidRPr="00DF4D66">
              <w:rPr>
                <w:lang w:val="en-NZ"/>
              </w:rPr>
              <w:t>Network</w:t>
            </w:r>
            <w:r>
              <w:rPr>
                <w:lang w:val="en-NZ"/>
              </w:rPr>
              <w:t xml:space="preserve"> </w:t>
            </w:r>
          </w:p>
          <w:p w14:paraId="0FD654E7" w14:textId="77777777" w:rsidR="00362882" w:rsidRDefault="00362882" w:rsidP="00E30195">
            <w:pPr>
              <w:pStyle w:val="FSTableText"/>
              <w:cnfStyle w:val="000000010000" w:firstRow="0" w:lastRow="0" w:firstColumn="0" w:lastColumn="0" w:oddVBand="0" w:evenVBand="0" w:oddHBand="0" w:evenHBand="1" w:firstRowFirstColumn="0" w:firstRowLastColumn="0" w:lastRowFirstColumn="0" w:lastRowLastColumn="0"/>
              <w:rPr>
                <w:lang w:val="en-NZ"/>
              </w:rPr>
            </w:pPr>
            <w:r>
              <w:rPr>
                <w:lang w:val="en-NZ"/>
              </w:rPr>
              <w:t xml:space="preserve"> </w:t>
            </w:r>
          </w:p>
          <w:p w14:paraId="47CDA41E" w14:textId="122C16BB" w:rsidR="00362882" w:rsidRPr="00DF4D66" w:rsidRDefault="00362882" w:rsidP="00E30195">
            <w:pPr>
              <w:pStyle w:val="FSTableText"/>
              <w:cnfStyle w:val="000000010000" w:firstRow="0" w:lastRow="0" w:firstColumn="0" w:lastColumn="0" w:oddVBand="0" w:evenVBand="0" w:oddHBand="0" w:evenHBand="1" w:firstRowFirstColumn="0" w:firstRowLastColumn="0" w:lastRowFirstColumn="0" w:lastRowLastColumn="0"/>
              <w:rPr>
                <w:lang w:val="en-NZ"/>
              </w:rPr>
            </w:pPr>
            <w:r>
              <w:rPr>
                <w:lang w:val="en-NZ"/>
              </w:rPr>
              <w:t>Petition</w:t>
            </w:r>
          </w:p>
        </w:tc>
        <w:tc>
          <w:tcPr>
            <w:tcW w:w="7380" w:type="dxa"/>
            <w:tcBorders>
              <w:left w:val="single" w:sz="4" w:space="0" w:color="auto"/>
            </w:tcBorders>
          </w:tcPr>
          <w:p w14:paraId="50CE8405" w14:textId="7E419018" w:rsidR="00570CFC" w:rsidRDefault="00186868" w:rsidP="00570CFC">
            <w:pPr>
              <w:pStyle w:val="FSTableText"/>
              <w:cnfStyle w:val="000000010000" w:firstRow="0" w:lastRow="0" w:firstColumn="0" w:lastColumn="0" w:oddVBand="0" w:evenVBand="0" w:oddHBand="0" w:evenHBand="1" w:firstRowFirstColumn="0" w:firstRowLastColumn="0" w:lastRowFirstColumn="0" w:lastRowLastColumn="0"/>
            </w:pPr>
            <w:r>
              <w:t>FSANZ</w:t>
            </w:r>
            <w:r w:rsidR="009E6197">
              <w:t>’s</w:t>
            </w:r>
            <w:r>
              <w:t xml:space="preserve"> risk assessment </w:t>
            </w:r>
            <w:r w:rsidR="009E6197">
              <w:t xml:space="preserve">concluded </w:t>
            </w:r>
            <w:r>
              <w:t xml:space="preserve">that the use of the enzyme as a processing </w:t>
            </w:r>
            <w:r w:rsidR="00E53C71">
              <w:t>aid for the prescribed technological purpose</w:t>
            </w:r>
            <w:r>
              <w:t xml:space="preserve"> will not pose a risk to public health or safety. </w:t>
            </w:r>
          </w:p>
          <w:p w14:paraId="353D7F8C" w14:textId="77777777" w:rsidR="0062145F" w:rsidRDefault="0062145F" w:rsidP="00570CFC">
            <w:pPr>
              <w:pStyle w:val="FSTableText"/>
              <w:cnfStyle w:val="000000010000" w:firstRow="0" w:lastRow="0" w:firstColumn="0" w:lastColumn="0" w:oddVBand="0" w:evenVBand="0" w:oddHBand="0" w:evenHBand="1" w:firstRowFirstColumn="0" w:firstRowLastColumn="0" w:lastRowFirstColumn="0" w:lastRowLastColumn="0"/>
            </w:pPr>
          </w:p>
          <w:p w14:paraId="039F657E" w14:textId="1A16C04F" w:rsidR="00570CFC" w:rsidRDefault="009E6197" w:rsidP="00570CFC">
            <w:pPr>
              <w:pStyle w:val="FSTableText"/>
              <w:cnfStyle w:val="000000010000" w:firstRow="0" w:lastRow="0" w:firstColumn="0" w:lastColumn="0" w:oddVBand="0" w:evenVBand="0" w:oddHBand="0" w:evenHBand="1" w:firstRowFirstColumn="0" w:firstRowLastColumn="0" w:lastRowFirstColumn="0" w:lastRowLastColumn="0"/>
            </w:pPr>
            <w:r>
              <w:rPr>
                <w:lang w:eastAsia="en-AU"/>
              </w:rPr>
              <w:t xml:space="preserve">As demonstrated in FSANZ’s risk assessment (SD1), </w:t>
            </w:r>
            <w:r w:rsidR="003E4AF0">
              <w:rPr>
                <w:lang w:eastAsia="en-AU"/>
              </w:rPr>
              <w:t xml:space="preserve">protein </w:t>
            </w:r>
            <w:r w:rsidR="00570CFC">
              <w:rPr>
                <w:lang w:eastAsia="en-AU"/>
              </w:rPr>
              <w:t xml:space="preserve">glutaminase from </w:t>
            </w:r>
            <w:r w:rsidR="00570CFC" w:rsidRPr="00DA2F8D">
              <w:rPr>
                <w:i/>
                <w:lang w:eastAsia="en-AU"/>
              </w:rPr>
              <w:t>C</w:t>
            </w:r>
            <w:r w:rsidR="00570CFC">
              <w:rPr>
                <w:i/>
                <w:lang w:eastAsia="en-AU"/>
              </w:rPr>
              <w:t>.</w:t>
            </w:r>
            <w:r w:rsidR="00570CFC" w:rsidRPr="00DA2F8D">
              <w:rPr>
                <w:i/>
                <w:lang w:eastAsia="en-AU"/>
              </w:rPr>
              <w:t xml:space="preserve"> </w:t>
            </w:r>
            <w:r w:rsidR="00570CFC">
              <w:rPr>
                <w:i/>
                <w:lang w:eastAsia="en-AU"/>
              </w:rPr>
              <w:t xml:space="preserve">proteolyticum </w:t>
            </w:r>
            <w:r w:rsidR="00570CFC" w:rsidRPr="00016C48">
              <w:t>strain AE-PG</w:t>
            </w:r>
            <w:r w:rsidR="00570CFC">
              <w:rPr>
                <w:lang w:eastAsia="en-AU"/>
              </w:rPr>
              <w:t xml:space="preserve"> does not </w:t>
            </w:r>
            <w:r w:rsidR="00570CFC">
              <w:rPr>
                <w:rFonts w:eastAsia="Calibri"/>
              </w:rPr>
              <w:t xml:space="preserve">have the characteristics of a potential food allergen and ingestion of any residual </w:t>
            </w:r>
            <w:r>
              <w:rPr>
                <w:rFonts w:eastAsia="Calibri"/>
              </w:rPr>
              <w:t xml:space="preserve">trace levels of </w:t>
            </w:r>
            <w:r w:rsidR="00570CFC">
              <w:rPr>
                <w:rFonts w:eastAsia="Calibri"/>
              </w:rPr>
              <w:t xml:space="preserve">protein glutaminase in food products is unlikely to pose an allergenicity concern. </w:t>
            </w:r>
            <w:r w:rsidR="00570CFC">
              <w:t>That assessment is based on the best available scientific evidence.</w:t>
            </w:r>
          </w:p>
          <w:p w14:paraId="732DC468" w14:textId="20526200" w:rsidR="00186868" w:rsidRDefault="00186868" w:rsidP="00E30195">
            <w:pPr>
              <w:pStyle w:val="FSTableText"/>
              <w:cnfStyle w:val="000000010000" w:firstRow="0" w:lastRow="0" w:firstColumn="0" w:lastColumn="0" w:oddVBand="0" w:evenVBand="0" w:oddHBand="0" w:evenHBand="1" w:firstRowFirstColumn="0" w:firstRowLastColumn="0" w:lastRowFirstColumn="0" w:lastRowLastColumn="0"/>
            </w:pPr>
          </w:p>
          <w:p w14:paraId="28064555" w14:textId="4AC8A265"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r w:rsidRPr="00600BCA">
              <w:t xml:space="preserve">Claims that the enzyme will </w:t>
            </w:r>
            <w:r w:rsidR="00E53C71">
              <w:t xml:space="preserve">result in elevated levels of glutamates and </w:t>
            </w:r>
            <w:r w:rsidRPr="00600BCA">
              <w:t>be a hidden form of MSG  are not correct</w:t>
            </w:r>
            <w:r>
              <w:t xml:space="preserve">. </w:t>
            </w:r>
          </w:p>
          <w:p w14:paraId="139E99C9"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p>
          <w:p w14:paraId="467E6792"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r>
              <w:lastRenderedPageBreak/>
              <w:t xml:space="preserve">The </w:t>
            </w:r>
            <w:r w:rsidRPr="00600BCA">
              <w:t xml:space="preserve">enzyme </w:t>
            </w:r>
            <w:r>
              <w:t xml:space="preserve">does not </w:t>
            </w:r>
            <w:r w:rsidRPr="00600BCA">
              <w:t>contain or produce MSG. MSG is a single salt composed of the single amino acid, glutamic acid.</w:t>
            </w:r>
          </w:p>
          <w:p w14:paraId="5D18741C"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p>
          <w:p w14:paraId="371E0025" w14:textId="62086B5F" w:rsidR="00362882" w:rsidRDefault="00186868" w:rsidP="00995C41">
            <w:pPr>
              <w:pStyle w:val="FSTableText"/>
              <w:cnfStyle w:val="000000010000" w:firstRow="0" w:lastRow="0" w:firstColumn="0" w:lastColumn="0" w:oddVBand="0" w:evenVBand="0" w:oddHBand="0" w:evenHBand="1" w:firstRowFirstColumn="0" w:firstRowLastColumn="0" w:lastRowFirstColumn="0" w:lastRowLastColumn="0"/>
            </w:pPr>
            <w:r w:rsidRPr="00600BCA">
              <w:t xml:space="preserve">The technological purpose of </w:t>
            </w:r>
            <w:r w:rsidR="00C402A1">
              <w:t>p</w:t>
            </w:r>
            <w:r w:rsidRPr="00600BCA">
              <w:t xml:space="preserve">rotein </w:t>
            </w:r>
            <w:r w:rsidR="00C402A1">
              <w:t>g</w:t>
            </w:r>
            <w:r w:rsidRPr="00600BCA">
              <w:t xml:space="preserve">lutaminase is to alter the structure </w:t>
            </w:r>
            <w:r w:rsidR="004E4BB5">
              <w:t xml:space="preserve">and properties </w:t>
            </w:r>
            <w:r w:rsidR="004E4BB5" w:rsidRPr="00600BCA">
              <w:t>of protein in foods</w:t>
            </w:r>
            <w:r w:rsidR="004E4BB5">
              <w:t xml:space="preserve"> to increase the protein’s solubility. </w:t>
            </w:r>
            <w:r w:rsidRPr="00600BCA">
              <w:t>Proteins remain intact during this reaction and no free amino acids (including glutamic acid</w:t>
            </w:r>
            <w:r w:rsidR="007541F7">
              <w:t xml:space="preserve"> and salts such as MSG</w:t>
            </w:r>
            <w:r w:rsidR="00EE3069">
              <w:t>)</w:t>
            </w:r>
            <w:r w:rsidRPr="00600BCA">
              <w:t xml:space="preserve"> are produced, meaning </w:t>
            </w:r>
            <w:r w:rsidR="004E4BB5" w:rsidRPr="001661B8">
              <w:t xml:space="preserve">flavour enhancement </w:t>
            </w:r>
            <w:r w:rsidR="003E4AF0">
              <w:t>will</w:t>
            </w:r>
            <w:r w:rsidR="003E4AF0" w:rsidRPr="001661B8">
              <w:t xml:space="preserve"> </w:t>
            </w:r>
            <w:r w:rsidR="004E4BB5" w:rsidRPr="001661B8">
              <w:t xml:space="preserve">not </w:t>
            </w:r>
            <w:r w:rsidR="003E4AF0">
              <w:t>occur</w:t>
            </w:r>
            <w:r w:rsidRPr="001661B8">
              <w:t>.</w:t>
            </w:r>
            <w:r w:rsidR="00C402A1">
              <w:t xml:space="preserve"> The enzyme acts on glutaminyl residue</w:t>
            </w:r>
            <w:r w:rsidR="003E4AF0">
              <w:t>s</w:t>
            </w:r>
            <w:r w:rsidR="00C402A1">
              <w:t xml:space="preserve"> bound to the large protein molecule</w:t>
            </w:r>
            <w:r w:rsidR="00E63E7E">
              <w:t xml:space="preserve"> to produce the same large protein molecule but now with a bound glutamyl residue; it does not produce small simple molecules </w:t>
            </w:r>
            <w:r w:rsidR="003E4AF0">
              <w:t xml:space="preserve">such as free glutamate </w:t>
            </w:r>
            <w:r w:rsidR="00E63E7E">
              <w:t>(see full explanation in SD1, specifically sections 1.1, 2.1 and 2.3).</w:t>
            </w:r>
          </w:p>
        </w:tc>
      </w:tr>
      <w:tr w:rsidR="00E53C71" w14:paraId="30D7D780" w14:textId="77777777" w:rsidTr="00FB69C6">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78090183" w14:textId="19855A1C" w:rsidR="00E53C71" w:rsidRPr="00362882" w:rsidDel="00186868" w:rsidRDefault="00E53C71" w:rsidP="00424D1F">
            <w:pPr>
              <w:autoSpaceDE w:val="0"/>
              <w:autoSpaceDN w:val="0"/>
              <w:adjustRightInd w:val="0"/>
              <w:rPr>
                <w:sz w:val="20"/>
                <w:szCs w:val="20"/>
                <w:lang w:val="en-NZ"/>
              </w:rPr>
            </w:pPr>
            <w:r>
              <w:rPr>
                <w:lang w:val="en-NZ"/>
              </w:rPr>
              <w:lastRenderedPageBreak/>
              <w:t xml:space="preserve">Approving </w:t>
            </w:r>
            <w:r w:rsidR="00424D1F" w:rsidRPr="005A0564">
              <w:t>protein</w:t>
            </w:r>
            <w:r w:rsidRPr="005A0564">
              <w:t xml:space="preserve"> glutaminase</w:t>
            </w:r>
            <w:r>
              <w:t>’s use</w:t>
            </w:r>
            <w:r w:rsidRPr="005A0564">
              <w:t xml:space="preserve"> </w:t>
            </w:r>
            <w:r>
              <w:t xml:space="preserve">as a processing aid will </w:t>
            </w:r>
            <w:r>
              <w:rPr>
                <w:lang w:val="en-NZ"/>
              </w:rPr>
              <w:t xml:space="preserve">provide a </w:t>
            </w:r>
            <w:r w:rsidRPr="005A0564">
              <w:rPr>
                <w:lang w:val="en-NZ"/>
              </w:rPr>
              <w:t>new way of hiding MSG in foods.</w:t>
            </w:r>
          </w:p>
        </w:tc>
        <w:tc>
          <w:tcPr>
            <w:tcW w:w="1350" w:type="dxa"/>
            <w:tcBorders>
              <w:left w:val="single" w:sz="4" w:space="0" w:color="auto"/>
              <w:right w:val="single" w:sz="4" w:space="0" w:color="auto"/>
            </w:tcBorders>
          </w:tcPr>
          <w:p w14:paraId="49596CB9" w14:textId="77777777" w:rsidR="00E53C71" w:rsidRDefault="00E53C71" w:rsidP="00A72788">
            <w:pPr>
              <w:pStyle w:val="FSTableText"/>
              <w:cnfStyle w:val="000000100000" w:firstRow="0" w:lastRow="0" w:firstColumn="0" w:lastColumn="0" w:oddVBand="0" w:evenVBand="0" w:oddHBand="1" w:evenHBand="0" w:firstRowFirstColumn="0" w:firstRowLastColumn="0" w:lastRowFirstColumn="0" w:lastRowLastColumn="0"/>
            </w:pPr>
            <w:r>
              <w:t>Private Individual</w:t>
            </w:r>
          </w:p>
          <w:p w14:paraId="092DB45F" w14:textId="2B163DBE" w:rsidR="00E66A6E" w:rsidRDefault="00E66A6E" w:rsidP="00A72788">
            <w:pPr>
              <w:pStyle w:val="FSTableText"/>
              <w:cnfStyle w:val="000000100000" w:firstRow="0" w:lastRow="0" w:firstColumn="0" w:lastColumn="0" w:oddVBand="0" w:evenVBand="0" w:oddHBand="1" w:evenHBand="0" w:firstRowFirstColumn="0" w:firstRowLastColumn="0" w:lastRowFirstColumn="0" w:lastRowLastColumn="0"/>
              <w:rPr>
                <w:lang w:val="en-NZ"/>
              </w:rPr>
            </w:pPr>
          </w:p>
          <w:p w14:paraId="0C8C041E" w14:textId="16B60816" w:rsidR="00E53C71" w:rsidRPr="00DF4D66" w:rsidRDefault="00E66A6E" w:rsidP="00362882">
            <w:pPr>
              <w:pStyle w:val="FSTableText"/>
              <w:cnfStyle w:val="000000100000" w:firstRow="0" w:lastRow="0" w:firstColumn="0" w:lastColumn="0" w:oddVBand="0" w:evenVBand="0" w:oddHBand="1" w:evenHBand="0" w:firstRowFirstColumn="0" w:firstRowLastColumn="0" w:lastRowFirstColumn="0" w:lastRowLastColumn="0"/>
              <w:rPr>
                <w:lang w:val="en-NZ"/>
              </w:rPr>
            </w:pPr>
            <w:r>
              <w:rPr>
                <w:lang w:val="en-NZ"/>
              </w:rPr>
              <w:t>Petition</w:t>
            </w:r>
            <w:r w:rsidR="00E53C71" w:rsidDel="006F34FD">
              <w:t xml:space="preserve"> </w:t>
            </w:r>
          </w:p>
        </w:tc>
        <w:tc>
          <w:tcPr>
            <w:tcW w:w="7380" w:type="dxa"/>
            <w:tcBorders>
              <w:left w:val="single" w:sz="4" w:space="0" w:color="auto"/>
            </w:tcBorders>
          </w:tcPr>
          <w:p w14:paraId="72869A3C" w14:textId="0EF99EE2" w:rsidR="00E53C71" w:rsidRDefault="00E53C71" w:rsidP="00E30195">
            <w:pPr>
              <w:pStyle w:val="FSTableText"/>
              <w:cnfStyle w:val="000000100000" w:firstRow="0" w:lastRow="0" w:firstColumn="0" w:lastColumn="0" w:oddVBand="0" w:evenVBand="0" w:oddHBand="1" w:evenHBand="0" w:firstRowFirstColumn="0" w:firstRowLastColumn="0" w:lastRowFirstColumn="0" w:lastRowLastColumn="0"/>
            </w:pPr>
            <w:r>
              <w:t>See response</w:t>
            </w:r>
            <w:r w:rsidR="004930B5">
              <w:t>s</w:t>
            </w:r>
            <w:r>
              <w:t xml:space="preserve"> above. </w:t>
            </w:r>
          </w:p>
        </w:tc>
      </w:tr>
      <w:tr w:rsidR="00560407" w14:paraId="522D588A" w14:textId="77777777" w:rsidTr="00FB69C6">
        <w:trPr>
          <w:cnfStyle w:val="000000010000" w:firstRow="0" w:lastRow="0" w:firstColumn="0" w:lastColumn="0" w:oddVBand="0" w:evenVBand="0" w:oddHBand="0" w:evenHBand="1"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32110477" w14:textId="77777777" w:rsidR="00E53C71" w:rsidRDefault="00362882" w:rsidP="00424D1F">
            <w:pPr>
              <w:autoSpaceDE w:val="0"/>
              <w:autoSpaceDN w:val="0"/>
              <w:adjustRightInd w:val="0"/>
              <w:rPr>
                <w:bCs w:val="0"/>
              </w:rPr>
            </w:pPr>
            <w:r w:rsidRPr="00362882">
              <w:rPr>
                <w:rFonts w:cs="Arial"/>
                <w:sz w:val="20"/>
                <w:szCs w:val="20"/>
              </w:rPr>
              <w:t>The presence of the enzyme must be declared in labelling as consumers have a right to know what is</w:t>
            </w:r>
            <w:r w:rsidR="00186868">
              <w:rPr>
                <w:rFonts w:cs="Arial"/>
                <w:sz w:val="20"/>
                <w:szCs w:val="20"/>
              </w:rPr>
              <w:t xml:space="preserve"> in </w:t>
            </w:r>
            <w:r w:rsidRPr="00362882">
              <w:rPr>
                <w:rFonts w:cs="Arial"/>
                <w:sz w:val="20"/>
                <w:szCs w:val="20"/>
              </w:rPr>
              <w:t>their</w:t>
            </w:r>
            <w:r>
              <w:rPr>
                <w:rFonts w:cs="Arial"/>
                <w:sz w:val="20"/>
                <w:szCs w:val="20"/>
              </w:rPr>
              <w:t xml:space="preserve"> </w:t>
            </w:r>
            <w:r w:rsidRPr="00362882">
              <w:rPr>
                <w:rFonts w:cs="Arial"/>
                <w:sz w:val="20"/>
                <w:szCs w:val="20"/>
              </w:rPr>
              <w:t xml:space="preserve">food.   </w:t>
            </w:r>
          </w:p>
          <w:p w14:paraId="460B5E46" w14:textId="77777777" w:rsidR="00E53C71" w:rsidRDefault="00E53C71" w:rsidP="00424D1F">
            <w:pPr>
              <w:autoSpaceDE w:val="0"/>
              <w:autoSpaceDN w:val="0"/>
              <w:adjustRightInd w:val="0"/>
              <w:rPr>
                <w:bCs w:val="0"/>
              </w:rPr>
            </w:pPr>
          </w:p>
          <w:p w14:paraId="02551B33" w14:textId="68C7D8EA" w:rsidR="00E53C71" w:rsidRPr="00424D1F" w:rsidRDefault="00E53C71" w:rsidP="00E53C71">
            <w:pPr>
              <w:pStyle w:val="FSTableText"/>
              <w:rPr>
                <w:lang w:val="en-NZ"/>
              </w:rPr>
            </w:pPr>
            <w:r>
              <w:rPr>
                <w:lang w:val="en-NZ"/>
              </w:rPr>
              <w:t>F</w:t>
            </w:r>
            <w:r w:rsidRPr="00B071F6">
              <w:rPr>
                <w:lang w:val="en-NZ"/>
              </w:rPr>
              <w:t>ood manufacturers are hiding ingredients in foods, by categorising them as processing aids, thereby blatantly misleading consumers.</w:t>
            </w:r>
            <w:r>
              <w:rPr>
                <w:lang w:val="en-NZ"/>
              </w:rPr>
              <w:t xml:space="preserve"> </w:t>
            </w:r>
          </w:p>
          <w:p w14:paraId="39E03F28" w14:textId="77777777" w:rsidR="00E53C71" w:rsidRDefault="00E53C71" w:rsidP="00424D1F">
            <w:pPr>
              <w:autoSpaceDE w:val="0"/>
              <w:autoSpaceDN w:val="0"/>
              <w:adjustRightInd w:val="0"/>
              <w:rPr>
                <w:bCs w:val="0"/>
              </w:rPr>
            </w:pPr>
          </w:p>
          <w:p w14:paraId="772AB617" w14:textId="405EFC6B" w:rsidR="00362882" w:rsidRPr="00424D1F" w:rsidRDefault="00362882" w:rsidP="00424D1F">
            <w:pPr>
              <w:autoSpaceDE w:val="0"/>
              <w:autoSpaceDN w:val="0"/>
              <w:adjustRightInd w:val="0"/>
              <w:rPr>
                <w:bCs w:val="0"/>
              </w:rPr>
            </w:pPr>
            <w:r w:rsidRPr="00362882">
              <w:rPr>
                <w:rFonts w:cs="Arial"/>
                <w:sz w:val="20"/>
                <w:szCs w:val="20"/>
              </w:rPr>
              <w:t xml:space="preserve">Declaring </w:t>
            </w:r>
            <w:r w:rsidR="00424D1F">
              <w:rPr>
                <w:rFonts w:cs="Arial"/>
                <w:sz w:val="20"/>
                <w:szCs w:val="20"/>
              </w:rPr>
              <w:t>p</w:t>
            </w:r>
            <w:r w:rsidRPr="00362882">
              <w:rPr>
                <w:rFonts w:cs="Arial"/>
                <w:sz w:val="20"/>
                <w:szCs w:val="20"/>
              </w:rPr>
              <w:t xml:space="preserve">rotein </w:t>
            </w:r>
            <w:r w:rsidR="00424D1F">
              <w:rPr>
                <w:rFonts w:cs="Arial"/>
                <w:sz w:val="20"/>
                <w:szCs w:val="20"/>
              </w:rPr>
              <w:t>g</w:t>
            </w:r>
            <w:r w:rsidRPr="00362882">
              <w:rPr>
                <w:rFonts w:cs="Arial"/>
                <w:sz w:val="20"/>
                <w:szCs w:val="20"/>
              </w:rPr>
              <w:t xml:space="preserve">lutaminase as a </w:t>
            </w:r>
            <w:r w:rsidR="00424D1F">
              <w:rPr>
                <w:rFonts w:cs="Arial"/>
                <w:sz w:val="20"/>
                <w:szCs w:val="20"/>
              </w:rPr>
              <w:t>p</w:t>
            </w:r>
            <w:r w:rsidRPr="00362882">
              <w:rPr>
                <w:rFonts w:cs="Arial"/>
                <w:sz w:val="20"/>
                <w:szCs w:val="20"/>
              </w:rPr>
              <w:t xml:space="preserve">rocessing </w:t>
            </w:r>
            <w:r w:rsidR="00424D1F">
              <w:rPr>
                <w:rFonts w:cs="Arial"/>
                <w:sz w:val="20"/>
                <w:szCs w:val="20"/>
              </w:rPr>
              <w:t>a</w:t>
            </w:r>
            <w:r w:rsidRPr="00362882">
              <w:rPr>
                <w:rFonts w:cs="Arial"/>
                <w:sz w:val="20"/>
                <w:szCs w:val="20"/>
              </w:rPr>
              <w:t xml:space="preserve">id is in breach of Object (c) of the Food Standards Australia New Zealand Act 1991: </w:t>
            </w:r>
            <w:r w:rsidRPr="00362882">
              <w:rPr>
                <w:rFonts w:cs="Arial"/>
                <w:i/>
                <w:iCs/>
                <w:sz w:val="20"/>
                <w:szCs w:val="20"/>
              </w:rPr>
              <w:t>the provision of adequate information relating</w:t>
            </w:r>
            <w:r w:rsidRPr="00362882">
              <w:rPr>
                <w:rFonts w:cs="Arial"/>
                <w:sz w:val="20"/>
                <w:szCs w:val="20"/>
              </w:rPr>
              <w:t xml:space="preserve"> </w:t>
            </w:r>
            <w:r w:rsidRPr="00362882">
              <w:rPr>
                <w:rFonts w:cs="Arial"/>
                <w:i/>
                <w:iCs/>
                <w:sz w:val="20"/>
                <w:szCs w:val="20"/>
              </w:rPr>
              <w:t>to food to enable consumers to make informed choices</w:t>
            </w:r>
          </w:p>
        </w:tc>
        <w:tc>
          <w:tcPr>
            <w:tcW w:w="1350" w:type="dxa"/>
            <w:tcBorders>
              <w:left w:val="single" w:sz="4" w:space="0" w:color="auto"/>
              <w:right w:val="single" w:sz="4" w:space="0" w:color="auto"/>
            </w:tcBorders>
          </w:tcPr>
          <w:p w14:paraId="13394232" w14:textId="77777777" w:rsidR="00362882" w:rsidRPr="00DF4D66"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sidRPr="00DF4D66">
              <w:rPr>
                <w:lang w:val="en-NZ"/>
              </w:rPr>
              <w:t>Food Intolerance</w:t>
            </w:r>
          </w:p>
          <w:p w14:paraId="16AD27BF" w14:textId="77777777" w:rsidR="00362882" w:rsidRPr="002E2A2F"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sidRPr="00DF4D66">
              <w:rPr>
                <w:lang w:val="en-NZ"/>
              </w:rPr>
              <w:t>Network</w:t>
            </w:r>
            <w:r>
              <w:rPr>
                <w:lang w:val="en-NZ"/>
              </w:rPr>
              <w:t xml:space="preserve"> </w:t>
            </w:r>
          </w:p>
          <w:p w14:paraId="0BDA8AFA" w14:textId="77777777" w:rsidR="00362882"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Pr>
                <w:lang w:val="en-NZ"/>
              </w:rPr>
              <w:t xml:space="preserve"> </w:t>
            </w:r>
          </w:p>
          <w:p w14:paraId="3C987788" w14:textId="5A126253" w:rsidR="00362882" w:rsidRPr="00DF4D66" w:rsidRDefault="00362882" w:rsidP="00362882">
            <w:pPr>
              <w:pStyle w:val="FSTableText"/>
              <w:cnfStyle w:val="000000010000" w:firstRow="0" w:lastRow="0" w:firstColumn="0" w:lastColumn="0" w:oddVBand="0" w:evenVBand="0" w:oddHBand="0" w:evenHBand="1" w:firstRowFirstColumn="0" w:firstRowLastColumn="0" w:lastRowFirstColumn="0" w:lastRowLastColumn="0"/>
              <w:rPr>
                <w:lang w:val="en-NZ"/>
              </w:rPr>
            </w:pPr>
            <w:r>
              <w:rPr>
                <w:lang w:val="en-NZ"/>
              </w:rPr>
              <w:t>Petition</w:t>
            </w:r>
          </w:p>
        </w:tc>
        <w:tc>
          <w:tcPr>
            <w:tcW w:w="7380" w:type="dxa"/>
            <w:tcBorders>
              <w:left w:val="single" w:sz="4" w:space="0" w:color="auto"/>
            </w:tcBorders>
          </w:tcPr>
          <w:p w14:paraId="19262ED3" w14:textId="6D9E3F6F"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r>
              <w:t>FSANZ</w:t>
            </w:r>
            <w:r w:rsidR="00930897">
              <w:t>’s</w:t>
            </w:r>
            <w:r>
              <w:t xml:space="preserve"> risk assessment is that the use of the enzyme as a processing </w:t>
            </w:r>
            <w:r w:rsidR="00E53C71">
              <w:t xml:space="preserve">aid for the prescribed technological purpose </w:t>
            </w:r>
            <w:r>
              <w:t>will not pose a risk to public health or safety. That assessment is based on the best available scientific evidence.</w:t>
            </w:r>
          </w:p>
          <w:p w14:paraId="5F89CC90"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p>
          <w:p w14:paraId="2B972F9C" w14:textId="7BE7A422" w:rsidR="00186868" w:rsidRDefault="00362882" w:rsidP="00186868">
            <w:pPr>
              <w:pStyle w:val="FSTableText"/>
              <w:cnfStyle w:val="000000010000" w:firstRow="0" w:lastRow="0" w:firstColumn="0" w:lastColumn="0" w:oddVBand="0" w:evenVBand="0" w:oddHBand="0" w:evenHBand="1" w:firstRowFirstColumn="0" w:firstRowLastColumn="0" w:lastRowFirstColumn="0" w:lastRowLastColumn="0"/>
            </w:pPr>
            <w:r w:rsidRPr="00B071F6">
              <w:t xml:space="preserve">The issue of </w:t>
            </w:r>
            <w:r>
              <w:t>whether</w:t>
            </w:r>
            <w:r w:rsidRPr="00B071F6">
              <w:t xml:space="preserve"> processing aids </w:t>
            </w:r>
            <w:r>
              <w:t xml:space="preserve">should be declared </w:t>
            </w:r>
            <w:r w:rsidRPr="00B071F6">
              <w:t>in the statement of ingredients was considered in 1997 as part of Proposal P143 – Assessment of provisions for the statement of ingredients</w:t>
            </w:r>
            <w:r w:rsidRPr="00B071F6">
              <w:rPr>
                <w:vertAlign w:val="superscript"/>
              </w:rPr>
              <w:footnoteReference w:id="4"/>
            </w:r>
            <w:r w:rsidRPr="00B071F6">
              <w:t xml:space="preserve">. The </w:t>
            </w:r>
            <w:r>
              <w:t xml:space="preserve">decision was taken to not require processing aids to be declared in the statement of ingredients. </w:t>
            </w:r>
            <w:r w:rsidR="00186868">
              <w:t xml:space="preserve">This was considered a </w:t>
            </w:r>
            <w:r w:rsidR="00186868" w:rsidRPr="00B071F6">
              <w:t>pragmatic approach taking into account the costs to the food industry of additional labelling and possible benefits to consumers.</w:t>
            </w:r>
            <w:r w:rsidR="00186868">
              <w:t xml:space="preserve"> </w:t>
            </w:r>
          </w:p>
          <w:p w14:paraId="63AB1E8A"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p>
          <w:p w14:paraId="668EF6E5" w14:textId="7A581D8F"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r>
              <w:t>Not declaring processing aids in the statement of ingredients</w:t>
            </w:r>
            <w:r w:rsidRPr="00B071F6">
              <w:t xml:space="preserve"> </w:t>
            </w:r>
            <w:r w:rsidR="00362882" w:rsidRPr="00B071F6">
              <w:t>is consistent with labelling requirements internationally</w:t>
            </w:r>
            <w:r>
              <w:t>,</w:t>
            </w:r>
            <w:r w:rsidR="00362882" w:rsidRPr="00B071F6">
              <w:t xml:space="preserve"> including within Codex Alimentarius. </w:t>
            </w:r>
          </w:p>
          <w:p w14:paraId="139B647B" w14:textId="77777777" w:rsidR="00186868" w:rsidRDefault="00186868" w:rsidP="00186868">
            <w:pPr>
              <w:pStyle w:val="FSTableText"/>
              <w:cnfStyle w:val="000000010000" w:firstRow="0" w:lastRow="0" w:firstColumn="0" w:lastColumn="0" w:oddVBand="0" w:evenVBand="0" w:oddHBand="0" w:evenHBand="1" w:firstRowFirstColumn="0" w:firstRowLastColumn="0" w:lastRowFirstColumn="0" w:lastRowLastColumn="0"/>
            </w:pPr>
          </w:p>
          <w:p w14:paraId="7405A605" w14:textId="77777777" w:rsidR="00362882" w:rsidRDefault="00362882" w:rsidP="00186868">
            <w:pPr>
              <w:pStyle w:val="FSTableText"/>
              <w:cnfStyle w:val="000000010000" w:firstRow="0" w:lastRow="0" w:firstColumn="0" w:lastColumn="0" w:oddVBand="0" w:evenVBand="0" w:oddHBand="0" w:evenHBand="1" w:firstRowFirstColumn="0" w:firstRowLastColumn="0" w:lastRowFirstColumn="0" w:lastRowLastColumn="0"/>
            </w:pPr>
            <w:r w:rsidRPr="00B071F6">
              <w:t>Food manufacturers can voluntarily add labelling information to indicate their use despite the labelling exemption</w:t>
            </w:r>
            <w:r w:rsidR="00186868">
              <w:t>.</w:t>
            </w:r>
          </w:p>
          <w:p w14:paraId="01DDBD83" w14:textId="77777777" w:rsidR="00A72788" w:rsidRDefault="00A72788" w:rsidP="00186868">
            <w:pPr>
              <w:pStyle w:val="FSTableText"/>
              <w:cnfStyle w:val="000000010000" w:firstRow="0" w:lastRow="0" w:firstColumn="0" w:lastColumn="0" w:oddVBand="0" w:evenVBand="0" w:oddHBand="0" w:evenHBand="1" w:firstRowFirstColumn="0" w:firstRowLastColumn="0" w:lastRowFirstColumn="0" w:lastRowLastColumn="0"/>
            </w:pPr>
          </w:p>
          <w:p w14:paraId="402E7AE4" w14:textId="063E507B" w:rsidR="00A72788" w:rsidRDefault="00A72788" w:rsidP="00186868">
            <w:pPr>
              <w:pStyle w:val="FSTableText"/>
              <w:cnfStyle w:val="000000010000" w:firstRow="0" w:lastRow="0" w:firstColumn="0" w:lastColumn="0" w:oddVBand="0" w:evenVBand="0" w:oddHBand="0" w:evenHBand="1" w:firstRowFirstColumn="0" w:firstRowLastColumn="0" w:lastRowFirstColumn="0" w:lastRowLastColumn="0"/>
            </w:pPr>
            <w:r>
              <w:t>See also the responses above.</w:t>
            </w:r>
          </w:p>
        </w:tc>
      </w:tr>
      <w:tr w:rsidR="00FB69C6" w14:paraId="150241BD" w14:textId="77777777" w:rsidTr="00FB69C6">
        <w:trPr>
          <w:cnfStyle w:val="000000100000" w:firstRow="0" w:lastRow="0" w:firstColumn="0" w:lastColumn="0" w:oddVBand="0" w:evenVBand="0" w:oddHBand="1" w:evenHBand="0" w:firstRowFirstColumn="0" w:firstRowLastColumn="0" w:lastRowFirstColumn="0" w:lastRowLastColumn="0"/>
          <w:trHeight w:val="3171"/>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6BF0B27B" w14:textId="613E6C48" w:rsidR="00186868" w:rsidRDefault="00186868" w:rsidP="00A72788">
            <w:pPr>
              <w:autoSpaceDE w:val="0"/>
              <w:autoSpaceDN w:val="0"/>
              <w:adjustRightInd w:val="0"/>
              <w:rPr>
                <w:rFonts w:cs="Arial"/>
                <w:bCs w:val="0"/>
                <w:sz w:val="20"/>
                <w:szCs w:val="20"/>
              </w:rPr>
            </w:pPr>
            <w:r w:rsidRPr="00BD39FF">
              <w:rPr>
                <w:rFonts w:cs="Arial"/>
                <w:bCs w:val="0"/>
                <w:sz w:val="20"/>
                <w:szCs w:val="20"/>
              </w:rPr>
              <w:lastRenderedPageBreak/>
              <w:t xml:space="preserve">Protein </w:t>
            </w:r>
            <w:r w:rsidR="005217B4">
              <w:rPr>
                <w:rFonts w:cs="Arial"/>
                <w:bCs w:val="0"/>
                <w:sz w:val="20"/>
                <w:szCs w:val="20"/>
              </w:rPr>
              <w:t>g</w:t>
            </w:r>
            <w:r w:rsidRPr="00BD39FF">
              <w:rPr>
                <w:rFonts w:cs="Arial"/>
                <w:bCs w:val="0"/>
                <w:sz w:val="20"/>
                <w:szCs w:val="20"/>
              </w:rPr>
              <w:t>lutaminase is a protease as currently listed in the Australia New Zealand Food Standards Code and so is legally required to be shown in the Statement of Ingredients.</w:t>
            </w:r>
          </w:p>
          <w:p w14:paraId="1943DB40" w14:textId="77777777" w:rsidR="00E53C71" w:rsidRDefault="00E53C71" w:rsidP="00A72788">
            <w:pPr>
              <w:autoSpaceDE w:val="0"/>
              <w:autoSpaceDN w:val="0"/>
              <w:adjustRightInd w:val="0"/>
              <w:rPr>
                <w:rFonts w:cs="Arial"/>
                <w:bCs w:val="0"/>
                <w:sz w:val="20"/>
                <w:szCs w:val="20"/>
              </w:rPr>
            </w:pPr>
          </w:p>
          <w:p w14:paraId="7D8B9F44" w14:textId="41943E38" w:rsidR="00E53C71" w:rsidRPr="001056DB" w:rsidRDefault="00E53C71" w:rsidP="00A72788">
            <w:pPr>
              <w:autoSpaceDE w:val="0"/>
              <w:autoSpaceDN w:val="0"/>
              <w:adjustRightInd w:val="0"/>
              <w:rPr>
                <w:rFonts w:cs="Arial"/>
                <w:bCs w:val="0"/>
                <w:sz w:val="20"/>
                <w:szCs w:val="20"/>
              </w:rPr>
            </w:pPr>
            <w:r w:rsidRPr="001056DB">
              <w:rPr>
                <w:sz w:val="20"/>
                <w:szCs w:val="20"/>
                <w:lang w:val="en-NZ"/>
              </w:rPr>
              <w:t xml:space="preserve">Protein </w:t>
            </w:r>
            <w:r w:rsidR="005217B4" w:rsidRPr="001056DB">
              <w:rPr>
                <w:sz w:val="20"/>
                <w:szCs w:val="20"/>
                <w:lang w:val="en-NZ"/>
              </w:rPr>
              <w:t>g</w:t>
            </w:r>
            <w:r w:rsidRPr="001056DB">
              <w:rPr>
                <w:sz w:val="20"/>
                <w:szCs w:val="20"/>
                <w:lang w:val="en-NZ"/>
              </w:rPr>
              <w:t>lutaminase should be listed in Schedule 8 under 1101 proteases (and wherever else required) so that it appears in the statement of ingredients on foods</w:t>
            </w:r>
          </w:p>
          <w:p w14:paraId="1F74A068" w14:textId="1C0C453E" w:rsidR="00186868" w:rsidRDefault="00186868" w:rsidP="000E71A0">
            <w:pPr>
              <w:pStyle w:val="FSTableText"/>
              <w:rPr>
                <w:lang w:val="en-NZ"/>
              </w:rPr>
            </w:pPr>
          </w:p>
        </w:tc>
        <w:tc>
          <w:tcPr>
            <w:tcW w:w="1350" w:type="dxa"/>
            <w:tcBorders>
              <w:left w:val="single" w:sz="4" w:space="0" w:color="auto"/>
              <w:right w:val="single" w:sz="4" w:space="0" w:color="auto"/>
            </w:tcBorders>
          </w:tcPr>
          <w:p w14:paraId="0BFC09E7" w14:textId="77777777" w:rsidR="00186868" w:rsidRPr="00DF4D66" w:rsidRDefault="00186868" w:rsidP="00A72788">
            <w:pPr>
              <w:pStyle w:val="FSTableText"/>
              <w:cnfStyle w:val="000000100000" w:firstRow="0" w:lastRow="0" w:firstColumn="0" w:lastColumn="0" w:oddVBand="0" w:evenVBand="0" w:oddHBand="1" w:evenHBand="0" w:firstRowFirstColumn="0" w:firstRowLastColumn="0" w:lastRowFirstColumn="0" w:lastRowLastColumn="0"/>
              <w:rPr>
                <w:lang w:val="en-NZ"/>
              </w:rPr>
            </w:pPr>
            <w:r w:rsidRPr="00DF4D66">
              <w:rPr>
                <w:lang w:val="en-NZ"/>
              </w:rPr>
              <w:t>Food Intolerance</w:t>
            </w:r>
          </w:p>
          <w:p w14:paraId="5F14A813" w14:textId="77777777" w:rsidR="00186868" w:rsidRPr="002E2A2F" w:rsidRDefault="00186868" w:rsidP="00A72788">
            <w:pPr>
              <w:pStyle w:val="FSTableText"/>
              <w:cnfStyle w:val="000000100000" w:firstRow="0" w:lastRow="0" w:firstColumn="0" w:lastColumn="0" w:oddVBand="0" w:evenVBand="0" w:oddHBand="1" w:evenHBand="0" w:firstRowFirstColumn="0" w:firstRowLastColumn="0" w:lastRowFirstColumn="0" w:lastRowLastColumn="0"/>
              <w:rPr>
                <w:lang w:val="en-NZ"/>
              </w:rPr>
            </w:pPr>
            <w:r w:rsidRPr="00DF4D66">
              <w:rPr>
                <w:lang w:val="en-NZ"/>
              </w:rPr>
              <w:t>Network</w:t>
            </w:r>
            <w:r>
              <w:rPr>
                <w:lang w:val="en-NZ"/>
              </w:rPr>
              <w:t xml:space="preserve"> </w:t>
            </w:r>
          </w:p>
          <w:p w14:paraId="583A7DC9" w14:textId="77777777" w:rsidR="00186868" w:rsidRPr="00DF4D66" w:rsidRDefault="00186868" w:rsidP="00E30195">
            <w:pPr>
              <w:pStyle w:val="FSTableText"/>
              <w:cnfStyle w:val="000000100000" w:firstRow="0" w:lastRow="0" w:firstColumn="0" w:lastColumn="0" w:oddVBand="0" w:evenVBand="0" w:oddHBand="1" w:evenHBand="0" w:firstRowFirstColumn="0" w:firstRowLastColumn="0" w:lastRowFirstColumn="0" w:lastRowLastColumn="0"/>
              <w:rPr>
                <w:lang w:val="en-NZ"/>
              </w:rPr>
            </w:pPr>
          </w:p>
        </w:tc>
        <w:tc>
          <w:tcPr>
            <w:tcW w:w="7380" w:type="dxa"/>
            <w:tcBorders>
              <w:left w:val="single" w:sz="4" w:space="0" w:color="auto"/>
            </w:tcBorders>
          </w:tcPr>
          <w:p w14:paraId="388837F2" w14:textId="3CDE40BE" w:rsidR="005B19D0" w:rsidRDefault="005217B4" w:rsidP="00E30195">
            <w:pPr>
              <w:pStyle w:val="FSTableText"/>
              <w:cnfStyle w:val="000000100000" w:firstRow="0" w:lastRow="0" w:firstColumn="0" w:lastColumn="0" w:oddVBand="0" w:evenVBand="0" w:oddHBand="1" w:evenHBand="0" w:firstRowFirstColumn="0" w:firstRowLastColumn="0" w:lastRowFirstColumn="0" w:lastRowLastColumn="0"/>
            </w:pPr>
            <w:r>
              <w:t xml:space="preserve">As </w:t>
            </w:r>
            <w:r w:rsidR="00930897">
              <w:t xml:space="preserve">described </w:t>
            </w:r>
            <w:r w:rsidR="005B19D0">
              <w:t>above,</w:t>
            </w:r>
            <w:r>
              <w:t xml:space="preserve"> protein glutaminase </w:t>
            </w:r>
            <w:r w:rsidR="00F66127">
              <w:t>is a</w:t>
            </w:r>
            <w:r>
              <w:t xml:space="preserve"> processing aid</w:t>
            </w:r>
            <w:r w:rsidR="005B19D0">
              <w:t xml:space="preserve"> </w:t>
            </w:r>
            <w:r w:rsidR="00F66127">
              <w:t>for</w:t>
            </w:r>
            <w:r>
              <w:t xml:space="preserve"> </w:t>
            </w:r>
            <w:r w:rsidR="00995C41">
              <w:t xml:space="preserve">the </w:t>
            </w:r>
            <w:r>
              <w:t>purpose for this Application</w:t>
            </w:r>
            <w:r w:rsidR="005B19D0">
              <w:t xml:space="preserve">. </w:t>
            </w:r>
          </w:p>
          <w:p w14:paraId="5BBF8EF5" w14:textId="77777777" w:rsidR="005B19D0" w:rsidRDefault="005B19D0" w:rsidP="00E30195">
            <w:pPr>
              <w:pStyle w:val="FSTableText"/>
              <w:cnfStyle w:val="000000100000" w:firstRow="0" w:lastRow="0" w:firstColumn="0" w:lastColumn="0" w:oddVBand="0" w:evenVBand="0" w:oddHBand="1" w:evenHBand="0" w:firstRowFirstColumn="0" w:firstRowLastColumn="0" w:lastRowFirstColumn="0" w:lastRowLastColumn="0"/>
            </w:pPr>
          </w:p>
          <w:p w14:paraId="0EAABB37" w14:textId="26EE32C7" w:rsidR="005B19D0" w:rsidRDefault="005B19D0" w:rsidP="00E30195">
            <w:pPr>
              <w:pStyle w:val="FSTableText"/>
              <w:cnfStyle w:val="000000100000" w:firstRow="0" w:lastRow="0" w:firstColumn="0" w:lastColumn="0" w:oddVBand="0" w:evenVBand="0" w:oddHBand="1" w:evenHBand="0" w:firstRowFirstColumn="0" w:firstRowLastColumn="0" w:lastRowFirstColumn="0" w:lastRowLastColumn="0"/>
            </w:pPr>
            <w:r>
              <w:t xml:space="preserve">Schedule 8 of the Code lists the </w:t>
            </w:r>
            <w:r w:rsidRPr="00B071F6">
              <w:t xml:space="preserve">food additive names and code numbers for the purposes of subsection 1.2.4—7(1) </w:t>
            </w:r>
            <w:r>
              <w:t>of the Code. That section only requires</w:t>
            </w:r>
            <w:r w:rsidRPr="00B071F6">
              <w:t xml:space="preserve"> the </w:t>
            </w:r>
            <w:r>
              <w:t>declaration</w:t>
            </w:r>
            <w:r w:rsidRPr="00B071F6">
              <w:t xml:space="preserve"> of substances used as a food additive</w:t>
            </w:r>
            <w:r>
              <w:t>. It does not apply to substances that are used as processing aids.</w:t>
            </w:r>
          </w:p>
          <w:p w14:paraId="35802A36" w14:textId="77777777" w:rsidR="005B19D0" w:rsidRDefault="005B19D0" w:rsidP="00E30195">
            <w:pPr>
              <w:pStyle w:val="FSTableText"/>
              <w:cnfStyle w:val="000000100000" w:firstRow="0" w:lastRow="0" w:firstColumn="0" w:lastColumn="0" w:oddVBand="0" w:evenVBand="0" w:oddHBand="1" w:evenHBand="0" w:firstRowFirstColumn="0" w:firstRowLastColumn="0" w:lastRowFirstColumn="0" w:lastRowLastColumn="0"/>
            </w:pPr>
          </w:p>
          <w:p w14:paraId="56F87736" w14:textId="17B1847A" w:rsidR="00A72788" w:rsidRDefault="005B19D0" w:rsidP="00E30195">
            <w:pPr>
              <w:pStyle w:val="FSTableText"/>
              <w:cnfStyle w:val="000000100000" w:firstRow="0" w:lastRow="0" w:firstColumn="0" w:lastColumn="0" w:oddVBand="0" w:evenVBand="0" w:oddHBand="1" w:evenHBand="0" w:firstRowFirstColumn="0" w:firstRowLastColumn="0" w:lastRowFirstColumn="0" w:lastRowLastColumn="0"/>
            </w:pPr>
            <w:r>
              <w:t>FSANZ’s</w:t>
            </w:r>
            <w:r w:rsidRPr="00CB7FA9">
              <w:t xml:space="preserve"> risk assessment concluded that the use of the enzyme as a processing aid </w:t>
            </w:r>
            <w:r>
              <w:t xml:space="preserve">in the manner proposed </w:t>
            </w:r>
            <w:r w:rsidRPr="00CB7FA9">
              <w:t xml:space="preserve">poses no risk to public health and safety. Therefore, no additional labelling requirements are </w:t>
            </w:r>
            <w:r>
              <w:t>required. The general</w:t>
            </w:r>
            <w:r w:rsidRPr="00CB7FA9">
              <w:t xml:space="preserve"> exemption from processing aids </w:t>
            </w:r>
            <w:r>
              <w:t xml:space="preserve">being declared </w:t>
            </w:r>
            <w:r w:rsidRPr="00CB7FA9">
              <w:t>in the stat</w:t>
            </w:r>
            <w:r>
              <w:t>ement of ingredients will therefore apply</w:t>
            </w:r>
            <w:r w:rsidR="005217B4">
              <w:t xml:space="preserve">. </w:t>
            </w:r>
          </w:p>
        </w:tc>
      </w:tr>
      <w:tr w:rsidR="00E53C71" w14:paraId="700518B4" w14:textId="77777777" w:rsidTr="00FB69C6">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auto"/>
              <w:right w:val="single" w:sz="4" w:space="0" w:color="auto"/>
            </w:tcBorders>
          </w:tcPr>
          <w:p w14:paraId="1DB84D76" w14:textId="5CD7184D" w:rsidR="001E4EB6" w:rsidRPr="00B071F6" w:rsidRDefault="00E53C71" w:rsidP="001E4EB6">
            <w:pPr>
              <w:pStyle w:val="FSTableText"/>
              <w:rPr>
                <w:lang w:val="en-NZ"/>
              </w:rPr>
            </w:pPr>
            <w:r>
              <w:rPr>
                <w:lang w:val="en-NZ"/>
              </w:rPr>
              <w:t xml:space="preserve">Concern over and opposition to </w:t>
            </w:r>
            <w:r w:rsidR="00B071F6" w:rsidRPr="00B071F6">
              <w:rPr>
                <w:lang w:val="en-NZ"/>
              </w:rPr>
              <w:t>the recent proposal to delete amylases,</w:t>
            </w:r>
            <w:r w:rsidR="00B071F6">
              <w:rPr>
                <w:lang w:val="en-NZ"/>
              </w:rPr>
              <w:t xml:space="preserve"> </w:t>
            </w:r>
            <w:r w:rsidR="00B071F6" w:rsidRPr="00B071F6">
              <w:rPr>
                <w:lang w:val="en-NZ"/>
              </w:rPr>
              <w:t>proteases and lipases from the list of additives that are required to be shown in the Statement of</w:t>
            </w:r>
            <w:r w:rsidR="00B071F6">
              <w:rPr>
                <w:lang w:val="en-NZ"/>
              </w:rPr>
              <w:t xml:space="preserve"> </w:t>
            </w:r>
            <w:r w:rsidR="00B071F6" w:rsidRPr="00B071F6">
              <w:rPr>
                <w:lang w:val="en-NZ"/>
              </w:rPr>
              <w:t>Ingredients, as detailed in Annex A</w:t>
            </w:r>
            <w:r w:rsidR="001E4EB6">
              <w:rPr>
                <w:lang w:val="en-NZ"/>
              </w:rPr>
              <w:t xml:space="preserve"> of the </w:t>
            </w:r>
            <w:r w:rsidR="001E4EB6" w:rsidRPr="00B071F6">
              <w:rPr>
                <w:lang w:val="en-NZ"/>
              </w:rPr>
              <w:t>Food Intolerance</w:t>
            </w:r>
          </w:p>
          <w:p w14:paraId="3510AFE4" w14:textId="77777777" w:rsidR="00E53C71" w:rsidRDefault="001E4EB6" w:rsidP="001E4EB6">
            <w:pPr>
              <w:pStyle w:val="FSTableText"/>
              <w:rPr>
                <w:lang w:val="en-NZ"/>
              </w:rPr>
            </w:pPr>
            <w:r w:rsidRPr="00B071F6">
              <w:rPr>
                <w:lang w:val="en-NZ"/>
              </w:rPr>
              <w:t>Network</w:t>
            </w:r>
            <w:r>
              <w:rPr>
                <w:lang w:val="en-NZ"/>
              </w:rPr>
              <w:t xml:space="preserve"> submission. </w:t>
            </w:r>
          </w:p>
          <w:p w14:paraId="49C45EF9" w14:textId="77777777" w:rsidR="00E53C71" w:rsidRDefault="00E53C71" w:rsidP="001E4EB6">
            <w:pPr>
              <w:pStyle w:val="FSTableText"/>
              <w:rPr>
                <w:lang w:val="en-NZ"/>
              </w:rPr>
            </w:pPr>
          </w:p>
          <w:p w14:paraId="56F32DEA" w14:textId="15256439" w:rsidR="00B071F6" w:rsidRDefault="001E4EB6" w:rsidP="001E4EB6">
            <w:pPr>
              <w:pStyle w:val="FSTableText"/>
              <w:rPr>
                <w:lang w:val="en-NZ"/>
              </w:rPr>
            </w:pPr>
            <w:r>
              <w:rPr>
                <w:lang w:val="en-NZ"/>
              </w:rPr>
              <w:t xml:space="preserve">Attachment A is a copy of the </w:t>
            </w:r>
            <w:r w:rsidRPr="00053195">
              <w:rPr>
                <w:bCs w:val="0"/>
                <w:lang w:val="en-NZ"/>
              </w:rPr>
              <w:t xml:space="preserve">joint FAO/WHO food standards programme </w:t>
            </w:r>
            <w:r>
              <w:rPr>
                <w:bCs w:val="0"/>
                <w:lang w:val="en-NZ"/>
              </w:rPr>
              <w:t>C</w:t>
            </w:r>
            <w:r w:rsidRPr="00053195">
              <w:rPr>
                <w:bCs w:val="0"/>
                <w:lang w:val="en-NZ"/>
              </w:rPr>
              <w:t xml:space="preserve">odex </w:t>
            </w:r>
            <w:r>
              <w:rPr>
                <w:bCs w:val="0"/>
                <w:lang w:val="en-NZ"/>
              </w:rPr>
              <w:t>C</w:t>
            </w:r>
            <w:r w:rsidRPr="00053195">
              <w:rPr>
                <w:bCs w:val="0"/>
                <w:lang w:val="en-NZ"/>
              </w:rPr>
              <w:t xml:space="preserve">ommittee </w:t>
            </w:r>
            <w:r>
              <w:rPr>
                <w:bCs w:val="0"/>
                <w:lang w:val="en-NZ"/>
              </w:rPr>
              <w:t>on Fo</w:t>
            </w:r>
            <w:r w:rsidRPr="00053195">
              <w:rPr>
                <w:bCs w:val="0"/>
                <w:lang w:val="en-NZ"/>
              </w:rPr>
              <w:t xml:space="preserve">od </w:t>
            </w:r>
            <w:r>
              <w:rPr>
                <w:bCs w:val="0"/>
                <w:lang w:val="en-NZ"/>
              </w:rPr>
              <w:t>A</w:t>
            </w:r>
            <w:r w:rsidRPr="00053195">
              <w:rPr>
                <w:bCs w:val="0"/>
                <w:lang w:val="en-NZ"/>
              </w:rPr>
              <w:t>dditives proposed draft revision to the international numbering system (</w:t>
            </w:r>
            <w:r>
              <w:rPr>
                <w:bCs w:val="0"/>
                <w:lang w:val="en-NZ"/>
              </w:rPr>
              <w:t>INS</w:t>
            </w:r>
            <w:r w:rsidRPr="00053195">
              <w:rPr>
                <w:bCs w:val="0"/>
                <w:lang w:val="en-NZ"/>
              </w:rPr>
              <w:t>) for food additives (CAC/GL 36-1989)</w:t>
            </w:r>
          </w:p>
        </w:tc>
        <w:tc>
          <w:tcPr>
            <w:tcW w:w="1350" w:type="dxa"/>
            <w:tcBorders>
              <w:left w:val="single" w:sz="4" w:space="0" w:color="auto"/>
              <w:right w:val="single" w:sz="4" w:space="0" w:color="auto"/>
            </w:tcBorders>
          </w:tcPr>
          <w:p w14:paraId="0B43A4A0" w14:textId="77777777" w:rsidR="00B071F6" w:rsidRPr="00B071F6" w:rsidRDefault="00B071F6" w:rsidP="00B071F6">
            <w:pPr>
              <w:pStyle w:val="FSTableText"/>
              <w:cnfStyle w:val="000000010000" w:firstRow="0" w:lastRow="0" w:firstColumn="0" w:lastColumn="0" w:oddVBand="0" w:evenVBand="0" w:oddHBand="0" w:evenHBand="1" w:firstRowFirstColumn="0" w:firstRowLastColumn="0" w:lastRowFirstColumn="0" w:lastRowLastColumn="0"/>
              <w:rPr>
                <w:lang w:val="en-NZ"/>
              </w:rPr>
            </w:pPr>
            <w:r w:rsidRPr="00B071F6">
              <w:rPr>
                <w:lang w:val="en-NZ"/>
              </w:rPr>
              <w:t>Food Intolerance</w:t>
            </w:r>
          </w:p>
          <w:p w14:paraId="3D0F3FE1" w14:textId="77777777" w:rsidR="00B071F6" w:rsidRPr="00B071F6" w:rsidRDefault="00B071F6" w:rsidP="00B071F6">
            <w:pPr>
              <w:pStyle w:val="FSTableText"/>
              <w:cnfStyle w:val="000000010000" w:firstRow="0" w:lastRow="0" w:firstColumn="0" w:lastColumn="0" w:oddVBand="0" w:evenVBand="0" w:oddHBand="0" w:evenHBand="1" w:firstRowFirstColumn="0" w:firstRowLastColumn="0" w:lastRowFirstColumn="0" w:lastRowLastColumn="0"/>
              <w:rPr>
                <w:lang w:val="en-NZ"/>
              </w:rPr>
            </w:pPr>
            <w:r w:rsidRPr="00B071F6">
              <w:rPr>
                <w:lang w:val="en-NZ"/>
              </w:rPr>
              <w:t>Network</w:t>
            </w:r>
          </w:p>
          <w:p w14:paraId="4A354439" w14:textId="77777777" w:rsidR="00B071F6" w:rsidRPr="00DF4D66" w:rsidRDefault="00B071F6" w:rsidP="00E30195">
            <w:pPr>
              <w:pStyle w:val="FSTableText"/>
              <w:cnfStyle w:val="000000010000" w:firstRow="0" w:lastRow="0" w:firstColumn="0" w:lastColumn="0" w:oddVBand="0" w:evenVBand="0" w:oddHBand="0" w:evenHBand="1" w:firstRowFirstColumn="0" w:firstRowLastColumn="0" w:lastRowFirstColumn="0" w:lastRowLastColumn="0"/>
              <w:rPr>
                <w:lang w:val="en-NZ"/>
              </w:rPr>
            </w:pPr>
          </w:p>
        </w:tc>
        <w:tc>
          <w:tcPr>
            <w:tcW w:w="7380" w:type="dxa"/>
            <w:tcBorders>
              <w:left w:val="single" w:sz="4" w:space="0" w:color="auto"/>
              <w:bottom w:val="single" w:sz="4" w:space="0" w:color="auto"/>
            </w:tcBorders>
          </w:tcPr>
          <w:p w14:paraId="6808934E" w14:textId="4D7B46CF" w:rsidR="007541F7" w:rsidRDefault="00F66127" w:rsidP="000E71A0">
            <w:pPr>
              <w:pStyle w:val="FSTableText"/>
              <w:cnfStyle w:val="000000010000" w:firstRow="0" w:lastRow="0" w:firstColumn="0" w:lastColumn="0" w:oddVBand="0" w:evenVBand="0" w:oddHBand="0" w:evenHBand="1" w:firstRowFirstColumn="0" w:firstRowLastColumn="0" w:lastRowFirstColumn="0" w:lastRowLastColumn="0"/>
            </w:pPr>
            <w:r>
              <w:t xml:space="preserve">No such proposal exists. </w:t>
            </w:r>
            <w:r w:rsidR="007541F7">
              <w:t>Annex A of the submission does not relate to any proposal by FSANZ to delete the three enzymes mentioned in Schedule 8.</w:t>
            </w:r>
          </w:p>
          <w:p w14:paraId="78870CDB" w14:textId="0D584027" w:rsidR="00B071F6" w:rsidRDefault="00797514" w:rsidP="00E75920">
            <w:pPr>
              <w:pStyle w:val="FSTableText"/>
              <w:cnfStyle w:val="000000010000" w:firstRow="0" w:lastRow="0" w:firstColumn="0" w:lastColumn="0" w:oddVBand="0" w:evenVBand="0" w:oddHBand="0" w:evenHBand="1" w:firstRowFirstColumn="0" w:firstRowLastColumn="0" w:lastRowFirstColumn="0" w:lastRowLastColumn="0"/>
              <w:rPr>
                <w:lang w:val="en-AU"/>
              </w:rPr>
            </w:pPr>
            <w:r w:rsidRPr="00E62F5F">
              <w:t>The report of the 49th Session of the CCFA (REP17/FA) (paragraph 112) that considered the document, CX/FA 17/49/12</w:t>
            </w:r>
            <w:r>
              <w:t xml:space="preserve"> (from which the extract for Annex A of the submission was taken)</w:t>
            </w:r>
            <w:r w:rsidRPr="00E62F5F">
              <w:t xml:space="preserve">, makes no reference to information regarding amylases (INS 1100 i, ii, iii, iv, v, vi), proteases (INS 1101 i, ii, iii, iv, v, vi) and lipases (INS 1104), other than to note that the proposed deletion of these substances from Class Names and the International Numbering System (INS) for Food Additives (CAC/GL 36-1989) is outside the mandate of the working group established to consider such matters. </w:t>
            </w:r>
            <w:r>
              <w:t xml:space="preserve"> </w:t>
            </w:r>
          </w:p>
        </w:tc>
      </w:tr>
      <w:tr w:rsidR="00E53C71" w14:paraId="4069BCA4" w14:textId="77777777" w:rsidTr="00FB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single" w:sz="4" w:space="0" w:color="auto"/>
              <w:left w:val="single" w:sz="4" w:space="0" w:color="auto"/>
              <w:bottom w:val="single" w:sz="4" w:space="0" w:color="auto"/>
              <w:right w:val="single" w:sz="4" w:space="0" w:color="auto"/>
            </w:tcBorders>
          </w:tcPr>
          <w:p w14:paraId="701FE3FF" w14:textId="45C1ED28" w:rsidR="005B72B2" w:rsidRPr="005A340C" w:rsidRDefault="006F34FD" w:rsidP="00E30195">
            <w:pPr>
              <w:pStyle w:val="Default"/>
              <w:rPr>
                <w:rFonts w:ascii="Arial" w:hAnsi="Arial" w:cs="Arial"/>
                <w:color w:val="auto"/>
                <w:sz w:val="20"/>
                <w:szCs w:val="20"/>
                <w:lang w:val="en-NZ" w:eastAsia="en-US" w:bidi="en-US"/>
              </w:rPr>
            </w:pPr>
            <w:r>
              <w:rPr>
                <w:rFonts w:ascii="Arial" w:hAnsi="Arial" w:cs="Arial"/>
                <w:color w:val="auto"/>
                <w:sz w:val="20"/>
                <w:szCs w:val="20"/>
                <w:lang w:val="en-NZ" w:eastAsia="en-US" w:bidi="en-US"/>
              </w:rPr>
              <w:t>Some</w:t>
            </w:r>
            <w:r w:rsidR="005B72B2" w:rsidRPr="005A340C">
              <w:rPr>
                <w:rFonts w:ascii="Arial" w:hAnsi="Arial" w:cs="Arial"/>
                <w:color w:val="auto"/>
                <w:sz w:val="20"/>
                <w:szCs w:val="20"/>
                <w:lang w:val="en-NZ" w:eastAsia="en-US" w:bidi="en-US"/>
              </w:rPr>
              <w:t xml:space="preserve"> food category terms used in the draft variation referring to the use of the enzyme are not defined by the Code. These terms are “bakery products” </w:t>
            </w:r>
            <w:r w:rsidR="005B72B2" w:rsidRPr="00103B19">
              <w:rPr>
                <w:rFonts w:ascii="Arial" w:hAnsi="Arial" w:cs="Arial"/>
                <w:color w:val="auto"/>
                <w:sz w:val="20"/>
                <w:szCs w:val="20"/>
                <w:lang w:val="en-NZ" w:eastAsia="en-US" w:bidi="en-US"/>
              </w:rPr>
              <w:t>and</w:t>
            </w:r>
            <w:r w:rsidR="005B72B2" w:rsidRPr="005A340C">
              <w:rPr>
                <w:rFonts w:ascii="Arial" w:hAnsi="Arial" w:cs="Arial"/>
                <w:color w:val="auto"/>
                <w:sz w:val="20"/>
                <w:szCs w:val="20"/>
                <w:lang w:val="en-NZ" w:eastAsia="en-US" w:bidi="en-US"/>
              </w:rPr>
              <w:t xml:space="preserve"> “</w:t>
            </w:r>
            <w:r w:rsidR="005B72B2">
              <w:rPr>
                <w:rFonts w:ascii="Arial" w:hAnsi="Arial" w:cs="Arial"/>
                <w:color w:val="auto"/>
                <w:sz w:val="20"/>
                <w:szCs w:val="20"/>
                <w:lang w:val="en-NZ" w:eastAsia="en-US" w:bidi="en-US"/>
              </w:rPr>
              <w:t xml:space="preserve">other </w:t>
            </w:r>
            <w:r w:rsidR="005B72B2" w:rsidRPr="005A340C">
              <w:rPr>
                <w:rFonts w:ascii="Arial" w:hAnsi="Arial" w:cs="Arial"/>
                <w:color w:val="auto"/>
                <w:sz w:val="20"/>
                <w:szCs w:val="20"/>
                <w:lang w:val="en-NZ" w:eastAsia="en-US" w:bidi="en-US"/>
              </w:rPr>
              <w:t>dairy products”</w:t>
            </w:r>
            <w:r w:rsidR="005B72B2">
              <w:rPr>
                <w:rFonts w:ascii="Arial" w:hAnsi="Arial" w:cs="Arial"/>
                <w:color w:val="auto"/>
                <w:sz w:val="20"/>
                <w:szCs w:val="20"/>
                <w:lang w:val="en-NZ" w:eastAsia="en-US" w:bidi="en-US"/>
              </w:rPr>
              <w:t>.</w:t>
            </w:r>
            <w:r>
              <w:rPr>
                <w:rFonts w:ascii="Arial" w:hAnsi="Arial" w:cs="Arial"/>
                <w:color w:val="auto"/>
                <w:sz w:val="20"/>
                <w:szCs w:val="20"/>
                <w:lang w:val="en-GB" w:eastAsia="en-US" w:bidi="en-US"/>
              </w:rPr>
              <w:t xml:space="preserve"> </w:t>
            </w:r>
            <w:r w:rsidR="005B72B2" w:rsidRPr="00D42DB2">
              <w:rPr>
                <w:rFonts w:ascii="Arial" w:hAnsi="Arial" w:cs="Arial"/>
                <w:color w:val="auto"/>
                <w:sz w:val="20"/>
                <w:szCs w:val="20"/>
                <w:lang w:val="en-GB" w:eastAsia="en-US" w:bidi="en-US"/>
              </w:rPr>
              <w:t>The proliferation of food terms that are not defined in the Code (Standard 1.1.2) makes interpretation and enforcement difficult.</w:t>
            </w:r>
          </w:p>
          <w:p w14:paraId="127A9112" w14:textId="77777777" w:rsidR="005B72B2" w:rsidRPr="000778D6" w:rsidRDefault="005B72B2" w:rsidP="00E30195">
            <w:pPr>
              <w:pStyle w:val="FSTableText"/>
            </w:pPr>
          </w:p>
        </w:tc>
        <w:tc>
          <w:tcPr>
            <w:tcW w:w="1350" w:type="dxa"/>
            <w:tcBorders>
              <w:top w:val="single" w:sz="4" w:space="0" w:color="auto"/>
              <w:left w:val="single" w:sz="4" w:space="0" w:color="auto"/>
              <w:bottom w:val="single" w:sz="4" w:space="0" w:color="auto"/>
              <w:right w:val="single" w:sz="4" w:space="0" w:color="auto"/>
            </w:tcBorders>
          </w:tcPr>
          <w:p w14:paraId="674BCF89" w14:textId="25CAD5E7" w:rsidR="005B72B2" w:rsidRPr="006A5CB8" w:rsidRDefault="005B72B2" w:rsidP="00E30195">
            <w:pPr>
              <w:pStyle w:val="FSTableText"/>
              <w:cnfStyle w:val="000000100000" w:firstRow="0" w:lastRow="0" w:firstColumn="0" w:lastColumn="0" w:oddVBand="0" w:evenVBand="0" w:oddHBand="1" w:evenHBand="0" w:firstRowFirstColumn="0" w:firstRowLastColumn="0" w:lastRowFirstColumn="0" w:lastRowLastColumn="0"/>
            </w:pPr>
            <w:r>
              <w:rPr>
                <w:lang w:val="en-AU"/>
              </w:rPr>
              <w:t xml:space="preserve">South Australia Health </w:t>
            </w:r>
          </w:p>
        </w:tc>
        <w:tc>
          <w:tcPr>
            <w:tcW w:w="7380" w:type="dxa"/>
            <w:tcBorders>
              <w:top w:val="single" w:sz="4" w:space="0" w:color="auto"/>
              <w:left w:val="single" w:sz="4" w:space="0" w:color="auto"/>
              <w:bottom w:val="single" w:sz="4" w:space="0" w:color="auto"/>
              <w:right w:val="single" w:sz="4" w:space="0" w:color="auto"/>
            </w:tcBorders>
          </w:tcPr>
          <w:p w14:paraId="72D715BC" w14:textId="626C6673" w:rsidR="003B51FB" w:rsidRPr="000778D6" w:rsidRDefault="005B72B2" w:rsidP="00F66127">
            <w:pPr>
              <w:pStyle w:val="FSTableText"/>
              <w:cnfStyle w:val="000000100000" w:firstRow="0" w:lastRow="0" w:firstColumn="0" w:lastColumn="0" w:oddVBand="0" w:evenVBand="0" w:oddHBand="1" w:evenHBand="0" w:firstRowFirstColumn="0" w:firstRowLastColumn="0" w:lastRowFirstColumn="0" w:lastRowLastColumn="0"/>
            </w:pPr>
            <w:r>
              <w:rPr>
                <w:lang w:val="en-AU"/>
              </w:rPr>
              <w:t xml:space="preserve">FSANZ does not </w:t>
            </w:r>
            <w:r w:rsidR="00F66127">
              <w:rPr>
                <w:lang w:val="en-AU"/>
              </w:rPr>
              <w:t xml:space="preserve">consider there is </w:t>
            </w:r>
            <w:r>
              <w:rPr>
                <w:lang w:val="en-AU"/>
              </w:rPr>
              <w:t xml:space="preserve">a need to provide a prescriptive, all-inclusive definition </w:t>
            </w:r>
            <w:r w:rsidR="00854D9A">
              <w:rPr>
                <w:lang w:val="en-AU"/>
              </w:rPr>
              <w:t xml:space="preserve">for </w:t>
            </w:r>
            <w:r>
              <w:rPr>
                <w:lang w:val="en-AU"/>
              </w:rPr>
              <w:t>“bakery products”, or “other dairy products”</w:t>
            </w:r>
            <w:r w:rsidR="00854D9A">
              <w:rPr>
                <w:lang w:val="en-AU"/>
              </w:rPr>
              <w:t>.</w:t>
            </w:r>
            <w:r>
              <w:rPr>
                <w:lang w:val="en-AU"/>
              </w:rPr>
              <w:t xml:space="preserve"> These terms are already present and undefined in the Code (see, for example, Standard 2.2.1 and Schedules 10, 15, 17, and 22). Where definitions are provided (e.g. definition of “dairy products”), these definitions are only illustrative (i.e. “dairy products” includes …) and are not prescriptive. In the absence of a definition, these terms generally have their accepted and ordinary meaning. FSANZ </w:t>
            </w:r>
            <w:r w:rsidR="00854D9A">
              <w:rPr>
                <w:lang w:val="en-AU"/>
              </w:rPr>
              <w:t>is not aware</w:t>
            </w:r>
            <w:r>
              <w:rPr>
                <w:lang w:val="en-AU"/>
              </w:rPr>
              <w:t xml:space="preserve"> of any evidence of a problem with this approach to date</w:t>
            </w:r>
            <w:r w:rsidR="003B51FB">
              <w:rPr>
                <w:lang w:val="en-AU"/>
              </w:rPr>
              <w:t>.</w:t>
            </w:r>
          </w:p>
        </w:tc>
      </w:tr>
      <w:tr w:rsidR="00E53C71" w14:paraId="2940BA0F" w14:textId="77777777" w:rsidTr="00FB6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single" w:sz="4" w:space="0" w:color="auto"/>
              <w:left w:val="single" w:sz="4" w:space="0" w:color="auto"/>
              <w:bottom w:val="single" w:sz="4" w:space="0" w:color="auto"/>
              <w:right w:val="single" w:sz="4" w:space="0" w:color="auto"/>
            </w:tcBorders>
          </w:tcPr>
          <w:p w14:paraId="3376B645" w14:textId="43DD21AB" w:rsidR="005B72B2" w:rsidRDefault="005B72B2" w:rsidP="00E30195">
            <w:pPr>
              <w:pStyle w:val="Default"/>
              <w:rPr>
                <w:rFonts w:ascii="Arial" w:hAnsi="Arial" w:cs="Arial"/>
                <w:color w:val="auto"/>
                <w:sz w:val="20"/>
                <w:szCs w:val="20"/>
                <w:lang w:val="en-NZ" w:eastAsia="en-US" w:bidi="en-US"/>
              </w:rPr>
            </w:pPr>
            <w:r>
              <w:rPr>
                <w:rFonts w:ascii="Arial" w:hAnsi="Arial" w:cs="Arial"/>
                <w:color w:val="auto"/>
                <w:sz w:val="20"/>
                <w:szCs w:val="20"/>
                <w:lang w:val="en-NZ" w:eastAsia="en-US" w:bidi="en-US"/>
              </w:rPr>
              <w:t>The</w:t>
            </w:r>
            <w:r w:rsidR="006F34FD">
              <w:rPr>
                <w:rFonts w:ascii="Arial" w:hAnsi="Arial" w:cs="Arial"/>
                <w:color w:val="auto"/>
                <w:sz w:val="20"/>
                <w:szCs w:val="20"/>
                <w:lang w:val="en-NZ" w:eastAsia="en-US" w:bidi="en-US"/>
              </w:rPr>
              <w:t xml:space="preserve">re is a </w:t>
            </w:r>
            <w:r w:rsidRPr="00E45A37">
              <w:rPr>
                <w:rFonts w:ascii="Arial" w:hAnsi="Arial" w:cs="Arial"/>
                <w:color w:val="auto"/>
                <w:sz w:val="20"/>
                <w:szCs w:val="20"/>
                <w:lang w:val="en-NZ" w:eastAsia="en-US" w:bidi="en-US"/>
              </w:rPr>
              <w:t xml:space="preserve">possibility that the glutamine deamidation activity of </w:t>
            </w:r>
            <w:r>
              <w:rPr>
                <w:rFonts w:ascii="Arial" w:hAnsi="Arial" w:cs="Arial"/>
                <w:color w:val="auto"/>
                <w:sz w:val="20"/>
                <w:szCs w:val="20"/>
                <w:lang w:val="en-NZ" w:eastAsia="en-US" w:bidi="en-US"/>
              </w:rPr>
              <w:t xml:space="preserve">protein </w:t>
            </w:r>
            <w:r w:rsidRPr="00E45A37">
              <w:rPr>
                <w:rFonts w:ascii="Arial" w:hAnsi="Arial" w:cs="Arial"/>
                <w:color w:val="auto"/>
                <w:sz w:val="20"/>
                <w:szCs w:val="20"/>
                <w:lang w:val="en-NZ" w:eastAsia="en-US" w:bidi="en-US"/>
              </w:rPr>
              <w:t xml:space="preserve">glutaminase </w:t>
            </w:r>
            <w:r>
              <w:rPr>
                <w:rFonts w:ascii="Arial" w:hAnsi="Arial" w:cs="Arial"/>
                <w:color w:val="auto"/>
                <w:sz w:val="20"/>
                <w:szCs w:val="20"/>
                <w:lang w:val="en-NZ" w:eastAsia="en-US" w:bidi="en-US"/>
              </w:rPr>
              <w:t>may</w:t>
            </w:r>
            <w:r w:rsidRPr="00E45A37">
              <w:rPr>
                <w:rFonts w:ascii="Arial" w:hAnsi="Arial" w:cs="Arial"/>
                <w:color w:val="auto"/>
                <w:sz w:val="20"/>
                <w:szCs w:val="20"/>
                <w:lang w:val="en-NZ" w:eastAsia="en-US" w:bidi="en-US"/>
              </w:rPr>
              <w:t xml:space="preserve"> result in the formation of elevated levels of epitopes (small peptides) responsible for coeliac disease in bakery products</w:t>
            </w:r>
            <w:r w:rsidR="006F34FD">
              <w:rPr>
                <w:rFonts w:ascii="Arial" w:hAnsi="Arial" w:cs="Arial"/>
                <w:color w:val="auto"/>
                <w:sz w:val="20"/>
                <w:szCs w:val="20"/>
                <w:lang w:val="en-NZ" w:eastAsia="en-US" w:bidi="en-US"/>
              </w:rPr>
              <w:t>. This</w:t>
            </w:r>
            <w:r>
              <w:rPr>
                <w:rFonts w:ascii="Arial" w:hAnsi="Arial" w:cs="Arial"/>
                <w:color w:val="auto"/>
                <w:sz w:val="20"/>
                <w:szCs w:val="20"/>
                <w:lang w:val="en-NZ" w:eastAsia="en-US" w:bidi="en-US"/>
              </w:rPr>
              <w:t xml:space="preserve"> could </w:t>
            </w:r>
            <w:r w:rsidRPr="00E45A37">
              <w:rPr>
                <w:rFonts w:ascii="Arial" w:hAnsi="Arial" w:cs="Arial"/>
                <w:color w:val="auto"/>
                <w:sz w:val="20"/>
                <w:szCs w:val="20"/>
                <w:lang w:val="en-NZ" w:eastAsia="en-US" w:bidi="en-US"/>
              </w:rPr>
              <w:t>potentially</w:t>
            </w:r>
            <w:r>
              <w:rPr>
                <w:rFonts w:ascii="Arial" w:hAnsi="Arial" w:cs="Arial"/>
                <w:color w:val="auto"/>
                <w:sz w:val="20"/>
                <w:szCs w:val="20"/>
                <w:lang w:val="en-NZ" w:eastAsia="en-US" w:bidi="en-US"/>
              </w:rPr>
              <w:t xml:space="preserve"> trigger</w:t>
            </w:r>
            <w:r w:rsidRPr="00E45A37">
              <w:rPr>
                <w:rFonts w:ascii="Arial" w:hAnsi="Arial" w:cs="Arial"/>
                <w:color w:val="auto"/>
                <w:sz w:val="20"/>
                <w:szCs w:val="20"/>
                <w:lang w:val="en-NZ" w:eastAsia="en-US" w:bidi="en-US"/>
              </w:rPr>
              <w:t xml:space="preserve"> fully developed coeliac disease in pre-disposed individuals. </w:t>
            </w:r>
          </w:p>
          <w:p w14:paraId="6C3B54F9" w14:textId="77777777" w:rsidR="005B72B2" w:rsidRPr="00E45A37" w:rsidRDefault="005B72B2" w:rsidP="00E30195">
            <w:pPr>
              <w:pStyle w:val="Default"/>
              <w:rPr>
                <w:rFonts w:cs="Arial"/>
                <w:sz w:val="20"/>
                <w:szCs w:val="20"/>
                <w:lang w:val="en-NZ" w:bidi="en-US"/>
              </w:rPr>
            </w:pPr>
          </w:p>
          <w:p w14:paraId="3B37C17A" w14:textId="5634B783" w:rsidR="005B72B2" w:rsidRDefault="006F34FD" w:rsidP="00E30195">
            <w:pPr>
              <w:pStyle w:val="Default"/>
              <w:rPr>
                <w:rFonts w:ascii="Arial" w:hAnsi="Arial" w:cs="Arial"/>
                <w:color w:val="auto"/>
                <w:sz w:val="20"/>
                <w:szCs w:val="20"/>
                <w:lang w:val="en-NZ" w:eastAsia="en-US" w:bidi="en-US"/>
              </w:rPr>
            </w:pPr>
            <w:r>
              <w:rPr>
                <w:rFonts w:ascii="Arial" w:hAnsi="Arial" w:cs="Arial"/>
                <w:color w:val="auto"/>
                <w:sz w:val="20"/>
                <w:szCs w:val="20"/>
                <w:lang w:val="en-NZ" w:eastAsia="en-US" w:bidi="en-US"/>
              </w:rPr>
              <w:lastRenderedPageBreak/>
              <w:t>F</w:t>
            </w:r>
            <w:r w:rsidR="005B72B2" w:rsidRPr="00E45A37">
              <w:rPr>
                <w:rFonts w:ascii="Arial" w:hAnsi="Arial" w:cs="Arial"/>
                <w:color w:val="auto"/>
                <w:sz w:val="20"/>
                <w:szCs w:val="20"/>
                <w:lang w:val="en-NZ" w:eastAsia="en-US" w:bidi="en-US"/>
              </w:rPr>
              <w:t xml:space="preserve">urther research </w:t>
            </w:r>
            <w:r w:rsidR="005B72B2">
              <w:rPr>
                <w:rFonts w:ascii="Arial" w:hAnsi="Arial" w:cs="Arial"/>
                <w:color w:val="auto"/>
                <w:sz w:val="20"/>
                <w:szCs w:val="20"/>
                <w:lang w:val="en-NZ" w:eastAsia="en-US" w:bidi="en-US"/>
              </w:rPr>
              <w:t>needs to</w:t>
            </w:r>
            <w:r w:rsidR="005B72B2" w:rsidRPr="00E45A37">
              <w:rPr>
                <w:rFonts w:ascii="Arial" w:hAnsi="Arial" w:cs="Arial"/>
                <w:color w:val="auto"/>
                <w:sz w:val="20"/>
                <w:szCs w:val="20"/>
                <w:lang w:val="en-NZ" w:eastAsia="en-US" w:bidi="en-US"/>
              </w:rPr>
              <w:t xml:space="preserve"> be performed to ensure that a clear consensus on the risks around its use in bakery products can be formed.</w:t>
            </w:r>
          </w:p>
          <w:p w14:paraId="65064A3F" w14:textId="77777777" w:rsidR="005B72B2" w:rsidRPr="005A340C" w:rsidRDefault="005B72B2" w:rsidP="00E30195">
            <w:pPr>
              <w:pStyle w:val="Default"/>
              <w:rPr>
                <w:rFonts w:ascii="Arial" w:hAnsi="Arial" w:cs="Arial"/>
                <w:color w:val="auto"/>
                <w:sz w:val="20"/>
                <w:szCs w:val="20"/>
                <w:lang w:val="en-NZ" w:eastAsia="en-US" w:bidi="en-US"/>
              </w:rPr>
            </w:pPr>
          </w:p>
        </w:tc>
        <w:tc>
          <w:tcPr>
            <w:tcW w:w="1350" w:type="dxa"/>
            <w:tcBorders>
              <w:top w:val="single" w:sz="4" w:space="0" w:color="auto"/>
              <w:left w:val="single" w:sz="4" w:space="0" w:color="auto"/>
              <w:bottom w:val="single" w:sz="4" w:space="0" w:color="auto"/>
              <w:right w:val="single" w:sz="4" w:space="0" w:color="auto"/>
            </w:tcBorders>
          </w:tcPr>
          <w:p w14:paraId="3D5B466D" w14:textId="77777777" w:rsidR="005B72B2" w:rsidRDefault="005B72B2" w:rsidP="00E30195">
            <w:pPr>
              <w:pStyle w:val="FSTableText"/>
              <w:cnfStyle w:val="000000010000" w:firstRow="0" w:lastRow="0" w:firstColumn="0" w:lastColumn="0" w:oddVBand="0" w:evenVBand="0" w:oddHBand="0" w:evenHBand="1" w:firstRowFirstColumn="0" w:firstRowLastColumn="0" w:lastRowFirstColumn="0" w:lastRowLastColumn="0"/>
              <w:rPr>
                <w:lang w:val="en-AU"/>
              </w:rPr>
            </w:pPr>
            <w:r w:rsidRPr="00342740">
              <w:rPr>
                <w:lang w:val="en-NZ"/>
              </w:rPr>
              <w:lastRenderedPageBreak/>
              <w:t>N</w:t>
            </w:r>
            <w:r>
              <w:rPr>
                <w:lang w:val="en-NZ"/>
              </w:rPr>
              <w:t xml:space="preserve">ew </w:t>
            </w:r>
            <w:r w:rsidRPr="00342740">
              <w:rPr>
                <w:lang w:val="en-NZ"/>
              </w:rPr>
              <w:t>Z</w:t>
            </w:r>
            <w:r>
              <w:rPr>
                <w:lang w:val="en-NZ"/>
              </w:rPr>
              <w:t>ealand</w:t>
            </w:r>
            <w:r w:rsidRPr="00342740">
              <w:rPr>
                <w:lang w:val="en-NZ"/>
              </w:rPr>
              <w:t xml:space="preserve"> Institute for Plant &amp; Food Research</w:t>
            </w:r>
          </w:p>
        </w:tc>
        <w:tc>
          <w:tcPr>
            <w:tcW w:w="7380" w:type="dxa"/>
            <w:tcBorders>
              <w:top w:val="single" w:sz="4" w:space="0" w:color="auto"/>
              <w:left w:val="single" w:sz="4" w:space="0" w:color="auto"/>
              <w:bottom w:val="single" w:sz="4" w:space="0" w:color="auto"/>
              <w:right w:val="single" w:sz="4" w:space="0" w:color="auto"/>
            </w:tcBorders>
          </w:tcPr>
          <w:p w14:paraId="138DDD6A" w14:textId="5C54B312" w:rsidR="005B72B2" w:rsidRPr="008C1E8A" w:rsidRDefault="005B72B2" w:rsidP="00E30195">
            <w:pPr>
              <w:cnfStyle w:val="000000010000" w:firstRow="0" w:lastRow="0" w:firstColumn="0" w:lastColumn="0" w:oddVBand="0" w:evenVBand="0" w:oddHBand="0" w:evenHBand="1" w:firstRowFirstColumn="0" w:firstRowLastColumn="0" w:lastRowFirstColumn="0" w:lastRowLastColumn="0"/>
              <w:rPr>
                <w:sz w:val="20"/>
                <w:szCs w:val="20"/>
                <w:lang w:val="en-AU"/>
              </w:rPr>
            </w:pPr>
            <w:r w:rsidRPr="008C1E8A">
              <w:rPr>
                <w:sz w:val="20"/>
                <w:szCs w:val="20"/>
                <w:lang w:val="en-AU"/>
              </w:rPr>
              <w:t xml:space="preserve">Microbial glutaminase has a long history of safe use in food processing. </w:t>
            </w:r>
            <w:r w:rsidR="008650F8">
              <w:rPr>
                <w:sz w:val="20"/>
                <w:szCs w:val="20"/>
                <w:lang w:val="en-AU"/>
              </w:rPr>
              <w:t>FSANZ is not aware of any</w:t>
            </w:r>
            <w:r w:rsidRPr="008C1E8A">
              <w:rPr>
                <w:sz w:val="20"/>
                <w:szCs w:val="20"/>
                <w:lang w:val="en-AU"/>
              </w:rPr>
              <w:t xml:space="preserve"> </w:t>
            </w:r>
            <w:r w:rsidR="00F66127">
              <w:rPr>
                <w:sz w:val="20"/>
                <w:szCs w:val="20"/>
                <w:lang w:val="en-AU"/>
              </w:rPr>
              <w:t xml:space="preserve">scientific </w:t>
            </w:r>
            <w:r w:rsidRPr="008C1E8A">
              <w:rPr>
                <w:sz w:val="20"/>
                <w:szCs w:val="20"/>
                <w:lang w:val="en-AU"/>
              </w:rPr>
              <w:t>studies demonstrating an association between use of protein-glutaminase and increased levels of coeliac disease epitopes, or an increased risk of coeliac disease</w:t>
            </w:r>
            <w:r w:rsidR="008650F8">
              <w:rPr>
                <w:sz w:val="20"/>
                <w:szCs w:val="20"/>
                <w:lang w:val="en-AU"/>
              </w:rPr>
              <w:t>.</w:t>
            </w:r>
            <w:r w:rsidR="008650F8" w:rsidRPr="008C1E8A">
              <w:rPr>
                <w:sz w:val="20"/>
                <w:szCs w:val="20"/>
                <w:lang w:val="en-AU"/>
              </w:rPr>
              <w:t xml:space="preserve"> </w:t>
            </w:r>
          </w:p>
          <w:p w14:paraId="4473E0C8" w14:textId="77777777" w:rsidR="005B72B2" w:rsidRPr="008C1E8A" w:rsidRDefault="005B72B2" w:rsidP="00E30195">
            <w:pPr>
              <w:cnfStyle w:val="000000010000" w:firstRow="0" w:lastRow="0" w:firstColumn="0" w:lastColumn="0" w:oddVBand="0" w:evenVBand="0" w:oddHBand="0" w:evenHBand="1" w:firstRowFirstColumn="0" w:firstRowLastColumn="0" w:lastRowFirstColumn="0" w:lastRowLastColumn="0"/>
              <w:rPr>
                <w:sz w:val="20"/>
                <w:szCs w:val="20"/>
                <w:lang w:val="en-AU"/>
              </w:rPr>
            </w:pPr>
          </w:p>
          <w:p w14:paraId="2C83381E" w14:textId="1183A3BC" w:rsidR="005B72B2" w:rsidRPr="008C1E8A" w:rsidRDefault="008650F8" w:rsidP="00E30195">
            <w:pPr>
              <w:cnfStyle w:val="000000010000" w:firstRow="0" w:lastRow="0" w:firstColumn="0" w:lastColumn="0" w:oddVBand="0" w:evenVBand="0" w:oddHBand="0" w:evenHBand="1" w:firstRowFirstColumn="0" w:firstRowLastColumn="0" w:lastRowFirstColumn="0" w:lastRowLastColumn="0"/>
              <w:rPr>
                <w:sz w:val="20"/>
                <w:szCs w:val="20"/>
                <w:lang w:val="en-AU"/>
              </w:rPr>
            </w:pPr>
            <w:r>
              <w:rPr>
                <w:sz w:val="20"/>
                <w:szCs w:val="20"/>
                <w:lang w:val="en-AU"/>
              </w:rPr>
              <w:t>FSANZ notes a study by</w:t>
            </w:r>
            <w:r w:rsidR="005B72B2" w:rsidRPr="008C1E8A">
              <w:rPr>
                <w:sz w:val="20"/>
                <w:szCs w:val="20"/>
                <w:lang w:val="en-AU"/>
              </w:rPr>
              <w:t xml:space="preserve"> Gerrard and Sutton (2005) </w:t>
            </w:r>
            <w:r>
              <w:rPr>
                <w:sz w:val="20"/>
                <w:szCs w:val="20"/>
                <w:lang w:val="en-AU"/>
              </w:rPr>
              <w:t xml:space="preserve">which </w:t>
            </w:r>
            <w:r w:rsidR="005B72B2" w:rsidRPr="008C1E8A">
              <w:rPr>
                <w:sz w:val="20"/>
                <w:szCs w:val="20"/>
                <w:lang w:val="en-AU"/>
              </w:rPr>
              <w:t xml:space="preserve">hypothesised that </w:t>
            </w:r>
            <w:r w:rsidR="005B72B2" w:rsidRPr="008C1E8A">
              <w:rPr>
                <w:sz w:val="20"/>
                <w:szCs w:val="20"/>
                <w:lang w:val="en-AU"/>
              </w:rPr>
              <w:lastRenderedPageBreak/>
              <w:t xml:space="preserve">pre-treatment of cereal products with another food enzyme, microbial transglutaminase, could result in the formation of epitopes associated with coeliac disease. </w:t>
            </w:r>
            <w:r>
              <w:rPr>
                <w:sz w:val="20"/>
                <w:szCs w:val="20"/>
                <w:lang w:val="en-AU"/>
              </w:rPr>
              <w:t>In addition,</w:t>
            </w:r>
            <w:r w:rsidR="005B72B2" w:rsidRPr="008C1E8A">
              <w:rPr>
                <w:sz w:val="20"/>
                <w:szCs w:val="20"/>
                <w:lang w:val="en-AU"/>
              </w:rPr>
              <w:t xml:space="preserve"> a small number of earlier studies have shown a potential for microbial transglutaminase treatment of bread to deamidate gluten-related peptides which are then immunogenic when incubated with serum from coeliac disease patients (Cabrera-Chávez et al 2008; Cabrera-Chávez et al 2009)</w:t>
            </w:r>
            <w:r>
              <w:rPr>
                <w:sz w:val="20"/>
                <w:szCs w:val="20"/>
                <w:lang w:val="en-AU"/>
              </w:rPr>
              <w:t>. However</w:t>
            </w:r>
            <w:r w:rsidR="005B72B2" w:rsidRPr="008C1E8A">
              <w:rPr>
                <w:sz w:val="20"/>
                <w:szCs w:val="20"/>
                <w:lang w:val="en-AU"/>
              </w:rPr>
              <w:t xml:space="preserve"> these studies have used much higher doses of transglutaminase than those used in normal bakery practices</w:t>
            </w:r>
            <w:r>
              <w:rPr>
                <w:sz w:val="20"/>
                <w:szCs w:val="20"/>
                <w:lang w:val="en-AU"/>
              </w:rPr>
              <w:t xml:space="preserve"> </w:t>
            </w:r>
            <w:r w:rsidR="00F66127">
              <w:rPr>
                <w:sz w:val="20"/>
                <w:szCs w:val="20"/>
                <w:lang w:val="en-AU"/>
              </w:rPr>
              <w:t>and</w:t>
            </w:r>
            <w:r>
              <w:rPr>
                <w:sz w:val="20"/>
                <w:szCs w:val="20"/>
                <w:lang w:val="en-AU"/>
              </w:rPr>
              <w:t xml:space="preserve"> </w:t>
            </w:r>
            <w:r w:rsidR="00B53DCA">
              <w:rPr>
                <w:sz w:val="20"/>
                <w:szCs w:val="20"/>
                <w:lang w:val="en-AU"/>
              </w:rPr>
              <w:t>are</w:t>
            </w:r>
            <w:r w:rsidRPr="00E75156">
              <w:rPr>
                <w:sz w:val="20"/>
                <w:szCs w:val="20"/>
                <w:lang w:val="en-AU"/>
              </w:rPr>
              <w:t xml:space="preserve"> </w:t>
            </w:r>
            <w:r w:rsidR="00B53DCA">
              <w:rPr>
                <w:sz w:val="20"/>
                <w:szCs w:val="20"/>
                <w:lang w:val="en-AU"/>
              </w:rPr>
              <w:t>not relevant for regulatory purposes</w:t>
            </w:r>
            <w:r w:rsidR="002A7AAC">
              <w:rPr>
                <w:sz w:val="20"/>
                <w:szCs w:val="20"/>
                <w:lang w:val="en-AU"/>
              </w:rPr>
              <w:t>.</w:t>
            </w:r>
            <w:r w:rsidR="002A7AAC" w:rsidRPr="008C1E8A">
              <w:rPr>
                <w:sz w:val="20"/>
                <w:szCs w:val="20"/>
                <w:lang w:val="en-AU"/>
              </w:rPr>
              <w:t xml:space="preserve"> In</w:t>
            </w:r>
            <w:r w:rsidR="005B72B2" w:rsidRPr="008C1E8A">
              <w:rPr>
                <w:sz w:val="20"/>
                <w:szCs w:val="20"/>
                <w:lang w:val="en-AU"/>
              </w:rPr>
              <w:t xml:space="preserve"> contrast, a recent study (Heil et al 2017) has shown that wheat bread prepared with standard bakery </w:t>
            </w:r>
            <w:r w:rsidR="00F66127">
              <w:rPr>
                <w:sz w:val="20"/>
                <w:szCs w:val="20"/>
                <w:lang w:val="en-AU"/>
              </w:rPr>
              <w:t>levels</w:t>
            </w:r>
            <w:r w:rsidR="00F66127" w:rsidRPr="008C1E8A">
              <w:rPr>
                <w:sz w:val="20"/>
                <w:szCs w:val="20"/>
                <w:lang w:val="en-AU"/>
              </w:rPr>
              <w:t xml:space="preserve"> </w:t>
            </w:r>
            <w:r w:rsidR="005B72B2" w:rsidRPr="008C1E8A">
              <w:rPr>
                <w:sz w:val="20"/>
                <w:szCs w:val="20"/>
                <w:lang w:val="en-AU"/>
              </w:rPr>
              <w:t xml:space="preserve">of microbial transglutaminase does not result in the formation of deamidated gliadins that are detectable by sera from celiac disease patients. </w:t>
            </w:r>
          </w:p>
          <w:p w14:paraId="410C9A1C" w14:textId="77777777" w:rsidR="005B72B2" w:rsidRPr="008C1E8A" w:rsidRDefault="005B72B2" w:rsidP="00E30195">
            <w:pPr>
              <w:cnfStyle w:val="000000010000" w:firstRow="0" w:lastRow="0" w:firstColumn="0" w:lastColumn="0" w:oddVBand="0" w:evenVBand="0" w:oddHBand="0" w:evenHBand="1" w:firstRowFirstColumn="0" w:firstRowLastColumn="0" w:lastRowFirstColumn="0" w:lastRowLastColumn="0"/>
              <w:rPr>
                <w:sz w:val="20"/>
                <w:szCs w:val="20"/>
                <w:lang w:val="en-AU"/>
              </w:rPr>
            </w:pPr>
          </w:p>
          <w:p w14:paraId="788B6CC6" w14:textId="77777777" w:rsidR="00FB69C6" w:rsidRDefault="005B72B2" w:rsidP="00E30195">
            <w:pPr>
              <w:jc w:val="both"/>
              <w:cnfStyle w:val="000000010000" w:firstRow="0" w:lastRow="0" w:firstColumn="0" w:lastColumn="0" w:oddVBand="0" w:evenVBand="0" w:oddHBand="0" w:evenHBand="1" w:firstRowFirstColumn="0" w:firstRowLastColumn="0" w:lastRowFirstColumn="0" w:lastRowLastColumn="0"/>
              <w:rPr>
                <w:sz w:val="20"/>
                <w:szCs w:val="20"/>
                <w:lang w:val="en-AU"/>
              </w:rPr>
            </w:pPr>
            <w:r w:rsidRPr="00E75156">
              <w:rPr>
                <w:sz w:val="20"/>
                <w:szCs w:val="20"/>
                <w:lang w:val="en-AU"/>
              </w:rPr>
              <w:t>Individuals with coeliac disease or gluten intolerance would be advised to avoid gluten-containing foods irrespective of whether they contain protein glutaminase. This would be expected to manage any potential concerns that this enzyme might increase the levels of coeliac disease epitopes in gluten containing foods.</w:t>
            </w:r>
          </w:p>
          <w:p w14:paraId="3E38EF4A" w14:textId="60F02A16" w:rsidR="005B72B2" w:rsidRDefault="005B72B2" w:rsidP="00E30195">
            <w:pPr>
              <w:jc w:val="both"/>
              <w:cnfStyle w:val="000000010000" w:firstRow="0" w:lastRow="0" w:firstColumn="0" w:lastColumn="0" w:oddVBand="0" w:evenVBand="0" w:oddHBand="0" w:evenHBand="1" w:firstRowFirstColumn="0" w:firstRowLastColumn="0" w:lastRowFirstColumn="0" w:lastRowLastColumn="0"/>
              <w:rPr>
                <w:lang w:val="en-AU"/>
              </w:rPr>
            </w:pPr>
          </w:p>
        </w:tc>
      </w:tr>
    </w:tbl>
    <w:p w14:paraId="3BCE23EB" w14:textId="1F6A1F7D" w:rsidR="000E6568" w:rsidRDefault="000E6568" w:rsidP="00FB69C6">
      <w:pPr>
        <w:pStyle w:val="Heading2"/>
        <w:ind w:left="0" w:firstLine="0"/>
        <w:rPr>
          <w:color w:val="00B050"/>
        </w:rPr>
        <w:sectPr w:rsidR="000E6568" w:rsidSect="00923A74">
          <w:pgSz w:w="16838" w:h="11906" w:orient="landscape" w:code="9"/>
          <w:pgMar w:top="1418" w:right="1080" w:bottom="1418" w:left="1418" w:header="709" w:footer="709" w:gutter="0"/>
          <w:cols w:space="708"/>
          <w:docGrid w:linePitch="360"/>
        </w:sectPr>
      </w:pPr>
    </w:p>
    <w:p w14:paraId="730E8C2B" w14:textId="7F8D38D2" w:rsidR="00FB69C6" w:rsidRDefault="00FB69C6" w:rsidP="00B70593">
      <w:pPr>
        <w:pStyle w:val="Heading3"/>
      </w:pPr>
      <w:bookmarkStart w:id="56" w:name="_Toc506902860"/>
      <w:bookmarkStart w:id="57" w:name="_Toc370223472"/>
      <w:bookmarkStart w:id="58" w:name="_Toc370225387"/>
      <w:bookmarkStart w:id="59" w:name="_Toc309291812"/>
      <w:bookmarkStart w:id="60" w:name="_Toc175381442"/>
      <w:bookmarkEnd w:id="50"/>
      <w:bookmarkEnd w:id="51"/>
      <w:bookmarkEnd w:id="52"/>
      <w:bookmarkEnd w:id="53"/>
      <w:bookmarkEnd w:id="54"/>
      <w:bookmarkEnd w:id="55"/>
      <w:r>
        <w:lastRenderedPageBreak/>
        <w:t>2.1.1</w:t>
      </w:r>
      <w:r>
        <w:tab/>
      </w:r>
      <w:r w:rsidR="00632F89">
        <w:rPr>
          <w:lang w:val="en-AU"/>
        </w:rPr>
        <w:t>S</w:t>
      </w:r>
      <w:r w:rsidR="00632F89" w:rsidRPr="00632F89">
        <w:rPr>
          <w:lang w:val="en-AU"/>
        </w:rPr>
        <w:t>pecificity</w:t>
      </w:r>
      <w:r>
        <w:rPr>
          <w:lang w:val="en-AU"/>
        </w:rPr>
        <w:t xml:space="preserve"> of protein glutaminase</w:t>
      </w:r>
      <w:bookmarkEnd w:id="56"/>
    </w:p>
    <w:p w14:paraId="6E4424B4" w14:textId="30339EC5" w:rsidR="00FB69C6" w:rsidRDefault="00FB69C6" w:rsidP="00632F89">
      <w:pPr>
        <w:rPr>
          <w:rFonts w:eastAsia="Calibri" w:cs="Arial"/>
          <w:szCs w:val="22"/>
          <w:lang w:val="en-AU" w:bidi="ar-SA"/>
        </w:rPr>
      </w:pPr>
      <w:r w:rsidRPr="00632F89">
        <w:rPr>
          <w:rFonts w:eastAsia="Calibri" w:cs="Arial"/>
          <w:szCs w:val="22"/>
          <w:lang w:val="en-AU" w:bidi="ar-SA"/>
        </w:rPr>
        <w:t>In its submission to A1136, the Food Intolerance Network (FIN) claimed that the protein glutaminase is a hidden form of MSG and would vastly increase MSG levels in foods. Furthermore, FIN also claimed that the use of protein glutaminase will mislead the consumer. An online campaign was launched on the change.org website, titled “Reject a new way of hiding MSG in foods”, attracted over 11,</w:t>
      </w:r>
      <w:r w:rsidR="008C1886" w:rsidRPr="00632F89">
        <w:rPr>
          <w:rFonts w:eastAsia="Calibri" w:cs="Arial"/>
          <w:szCs w:val="22"/>
          <w:lang w:val="en-AU" w:bidi="ar-SA"/>
        </w:rPr>
        <w:t>6</w:t>
      </w:r>
      <w:r w:rsidRPr="00632F89">
        <w:rPr>
          <w:rFonts w:eastAsia="Calibri" w:cs="Arial"/>
          <w:szCs w:val="22"/>
          <w:lang w:val="en-AU" w:bidi="ar-SA"/>
        </w:rPr>
        <w:t>00 consumers in support of it.</w:t>
      </w:r>
    </w:p>
    <w:p w14:paraId="475EB24C" w14:textId="77777777" w:rsidR="00632F89" w:rsidRPr="00632F89" w:rsidRDefault="00632F89" w:rsidP="00632F89">
      <w:pPr>
        <w:rPr>
          <w:rFonts w:eastAsia="Calibri" w:cs="Arial"/>
          <w:szCs w:val="22"/>
          <w:lang w:val="en-AU" w:bidi="ar-SA"/>
        </w:rPr>
      </w:pPr>
    </w:p>
    <w:p w14:paraId="4740FA43" w14:textId="39CD9129" w:rsidR="00FB69C6" w:rsidRDefault="00FB69C6" w:rsidP="00632F89">
      <w:pPr>
        <w:rPr>
          <w:rFonts w:eastAsia="Calibri" w:cs="Arial"/>
          <w:szCs w:val="22"/>
          <w:lang w:val="en-AU" w:bidi="ar-SA"/>
        </w:rPr>
      </w:pPr>
      <w:r w:rsidRPr="00632F89">
        <w:rPr>
          <w:rFonts w:eastAsia="Calibri" w:cs="Arial"/>
          <w:szCs w:val="22"/>
          <w:lang w:val="en-AU" w:bidi="ar-SA"/>
        </w:rPr>
        <w:t>FSANZ sets food standards based on risk analysis using the best available scientific evidence consistent with requirements in the Food Standards Australia New Zealand Act 1991. This evidence not only includes the safety of a substance proposed to be added to, or used to produce, food, but also the purpose of that substance in food.</w:t>
      </w:r>
    </w:p>
    <w:p w14:paraId="1E469BB4" w14:textId="77777777" w:rsidR="00632F89" w:rsidRPr="00632F89" w:rsidRDefault="00632F89" w:rsidP="00632F89">
      <w:pPr>
        <w:rPr>
          <w:rFonts w:eastAsia="Calibri" w:cs="Arial"/>
          <w:szCs w:val="22"/>
          <w:lang w:val="en-AU" w:bidi="ar-SA"/>
        </w:rPr>
      </w:pPr>
    </w:p>
    <w:p w14:paraId="4865994C" w14:textId="49F2F38F" w:rsidR="00FB69C6" w:rsidRPr="00632F89" w:rsidRDefault="00FB69C6" w:rsidP="00632F89">
      <w:pPr>
        <w:rPr>
          <w:rFonts w:eastAsia="Calibri" w:cs="Arial"/>
          <w:szCs w:val="22"/>
          <w:lang w:val="en-AU" w:bidi="ar-SA"/>
        </w:rPr>
      </w:pPr>
      <w:r w:rsidRPr="00FB69C6">
        <w:rPr>
          <w:rFonts w:eastAsia="Calibri" w:cs="Arial"/>
          <w:szCs w:val="22"/>
          <w:lang w:val="en-AU" w:bidi="ar-SA"/>
        </w:rPr>
        <w:t>Protein glutaminase is a protein-deamidating enzyme</w:t>
      </w:r>
      <w:r w:rsidRPr="00632F89">
        <w:rPr>
          <w:rFonts w:eastAsia="Calibri" w:cs="Arial"/>
          <w:szCs w:val="22"/>
          <w:lang w:val="en-AU" w:bidi="ar-SA"/>
        </w:rPr>
        <w:t>,</w:t>
      </w:r>
      <w:r w:rsidRPr="00FB69C6">
        <w:rPr>
          <w:rFonts w:eastAsia="Calibri" w:cs="Arial"/>
          <w:szCs w:val="22"/>
          <w:lang w:val="en-AU" w:bidi="ar-SA"/>
        </w:rPr>
        <w:t xml:space="preserve"> which catalyses the deamidation of protein bound glutaminyl residues to protein bound glutamyl residues</w:t>
      </w:r>
      <w:r w:rsidR="00B70593">
        <w:rPr>
          <w:rFonts w:eastAsia="Calibri" w:cs="Arial"/>
          <w:szCs w:val="22"/>
          <w:lang w:val="en-AU" w:bidi="ar-SA"/>
        </w:rPr>
        <w:t xml:space="preserve"> (</w:t>
      </w:r>
      <w:r w:rsidR="00B70593" w:rsidRPr="00632F89">
        <w:rPr>
          <w:rFonts w:eastAsia="Calibri" w:cs="Arial"/>
          <w:szCs w:val="22"/>
          <w:lang w:val="en-AU" w:bidi="ar-SA"/>
        </w:rPr>
        <w:t>Yamaguchi et al 2001)</w:t>
      </w:r>
      <w:r w:rsidRPr="00B70593">
        <w:rPr>
          <w:rFonts w:eastAsia="Calibri" w:cs="Arial"/>
          <w:szCs w:val="22"/>
          <w:lang w:val="en-AU" w:bidi="ar-SA"/>
        </w:rPr>
        <w:t>.</w:t>
      </w:r>
      <w:r w:rsidRPr="00FB69C6">
        <w:rPr>
          <w:rFonts w:eastAsia="Calibri" w:cs="Arial"/>
          <w:szCs w:val="22"/>
          <w:lang w:val="en-AU" w:bidi="ar-SA"/>
        </w:rPr>
        <w:t xml:space="preserve"> The </w:t>
      </w:r>
      <w:r w:rsidR="00632F89">
        <w:rPr>
          <w:rFonts w:eastAsia="Calibri" w:cs="Arial"/>
          <w:szCs w:val="22"/>
          <w:lang w:val="en-AU" w:bidi="ar-SA"/>
        </w:rPr>
        <w:t xml:space="preserve">specificity </w:t>
      </w:r>
      <w:r w:rsidRPr="00FB69C6">
        <w:rPr>
          <w:rFonts w:eastAsia="Calibri" w:cs="Arial"/>
          <w:szCs w:val="22"/>
          <w:lang w:val="en-AU" w:bidi="ar-SA"/>
        </w:rPr>
        <w:t>of this enzyme is for carbon-nitrogen bonds rather than peptide bonds (Kikuchi et al</w:t>
      </w:r>
      <w:r w:rsidR="009A75BF">
        <w:rPr>
          <w:rFonts w:eastAsia="Calibri" w:cs="Arial"/>
          <w:szCs w:val="22"/>
          <w:lang w:val="en-AU" w:bidi="ar-SA"/>
        </w:rPr>
        <w:t xml:space="preserve">) </w:t>
      </w:r>
      <w:r w:rsidRPr="00FB69C6">
        <w:rPr>
          <w:rFonts w:eastAsia="Calibri" w:cs="Arial"/>
          <w:szCs w:val="22"/>
          <w:lang w:val="en-AU" w:bidi="ar-SA"/>
        </w:rPr>
        <w:t>and on this basis it does not specifically cleave the amino acid backbone of the protein chain. Importantly, the enzyme is ineffective on free glutamine (</w:t>
      </w:r>
      <w:r w:rsidRPr="00632F89">
        <w:rPr>
          <w:rFonts w:eastAsia="Calibri" w:cs="Arial"/>
          <w:szCs w:val="22"/>
          <w:lang w:val="en-AU" w:bidi="ar-SA"/>
        </w:rPr>
        <w:t>Yamaguchi et al 1991</w:t>
      </w:r>
      <w:r w:rsidR="00354E1A" w:rsidRPr="00632F89">
        <w:rPr>
          <w:rFonts w:eastAsia="Calibri" w:cs="Arial"/>
          <w:szCs w:val="22"/>
          <w:lang w:val="en-AU" w:bidi="ar-SA"/>
        </w:rPr>
        <w:t>, Hashizume et al 2011</w:t>
      </w:r>
      <w:r w:rsidR="00B70593" w:rsidRPr="00632F89">
        <w:rPr>
          <w:rFonts w:eastAsia="Calibri" w:cs="Arial"/>
          <w:szCs w:val="22"/>
          <w:lang w:val="en-AU" w:bidi="ar-SA"/>
        </w:rPr>
        <w:t>)</w:t>
      </w:r>
      <w:r w:rsidR="009A75BF" w:rsidRPr="00632F89">
        <w:rPr>
          <w:rFonts w:eastAsia="Calibri" w:cs="Arial"/>
          <w:szCs w:val="22"/>
          <w:lang w:val="en-AU" w:bidi="ar-SA"/>
        </w:rPr>
        <w:t>.</w:t>
      </w:r>
    </w:p>
    <w:p w14:paraId="7CB6D524" w14:textId="77777777" w:rsidR="00FB69C6" w:rsidRPr="00632F89" w:rsidRDefault="00FB69C6" w:rsidP="00632F89">
      <w:pPr>
        <w:rPr>
          <w:rFonts w:eastAsia="Calibri" w:cs="Arial"/>
          <w:szCs w:val="22"/>
          <w:lang w:val="en-AU" w:bidi="ar-SA"/>
        </w:rPr>
      </w:pPr>
    </w:p>
    <w:p w14:paraId="0D1BD2CC" w14:textId="77777777" w:rsidR="00FB69C6" w:rsidRPr="00632F89" w:rsidRDefault="00FB69C6" w:rsidP="00632F89">
      <w:pPr>
        <w:rPr>
          <w:rFonts w:eastAsia="Calibri" w:cs="Arial"/>
          <w:szCs w:val="22"/>
          <w:lang w:val="en-AU" w:bidi="ar-SA"/>
        </w:rPr>
      </w:pPr>
      <w:r w:rsidRPr="00FB69C6">
        <w:rPr>
          <w:rFonts w:eastAsia="Calibri" w:cs="Arial"/>
          <w:szCs w:val="22"/>
          <w:lang w:val="en-AU" w:bidi="ar-SA"/>
        </w:rPr>
        <w:t xml:space="preserve">The generation of negatively charged bound glutamyl residues on the protein chain triggers the unfolding of the protein thereby increasing solubility. This results in the enhanced functionality of the protein in relation to </w:t>
      </w:r>
      <w:r w:rsidRPr="00632F89">
        <w:rPr>
          <w:rFonts w:eastAsia="Calibri" w:cs="Arial"/>
          <w:szCs w:val="22"/>
          <w:lang w:val="en-AU" w:bidi="ar-SA"/>
        </w:rPr>
        <w:t>emulsification, foam stabilisation and gelling.</w:t>
      </w:r>
    </w:p>
    <w:p w14:paraId="7F729461" w14:textId="77777777" w:rsidR="00FB69C6" w:rsidRPr="00632F89" w:rsidRDefault="00FB69C6" w:rsidP="00632F89">
      <w:pPr>
        <w:rPr>
          <w:rFonts w:eastAsia="Calibri" w:cs="Arial"/>
          <w:szCs w:val="22"/>
          <w:lang w:val="en-AU" w:bidi="ar-SA"/>
        </w:rPr>
      </w:pPr>
    </w:p>
    <w:p w14:paraId="470AB74F" w14:textId="3FB3363F" w:rsidR="00FB69C6" w:rsidRPr="00632F89" w:rsidRDefault="00FB69C6" w:rsidP="00632F89">
      <w:pPr>
        <w:rPr>
          <w:rFonts w:eastAsia="Calibri" w:cs="Arial"/>
          <w:szCs w:val="22"/>
          <w:lang w:val="en-AU" w:bidi="ar-SA"/>
        </w:rPr>
      </w:pPr>
      <w:r w:rsidRPr="00632F89">
        <w:rPr>
          <w:rFonts w:eastAsia="Calibri" w:cs="Arial"/>
          <w:szCs w:val="22"/>
          <w:lang w:val="en-AU" w:bidi="ar-SA"/>
        </w:rPr>
        <w:t xml:space="preserve">Based on this mechanism of action, it is not plausible that free glutamates, other amino acids or MSG would be produced by the action of this enzyme. </w:t>
      </w:r>
    </w:p>
    <w:p w14:paraId="6B6D278E" w14:textId="13974AD5" w:rsidR="00B70593" w:rsidRDefault="00B70593" w:rsidP="00B70593">
      <w:pPr>
        <w:pStyle w:val="Heading3"/>
      </w:pPr>
      <w:bookmarkStart w:id="61" w:name="_Toc506902861"/>
      <w:r>
        <w:t>2.1.</w:t>
      </w:r>
      <w:r w:rsidR="00266197">
        <w:t>2</w:t>
      </w:r>
      <w:r>
        <w:tab/>
      </w:r>
      <w:r w:rsidRPr="00B70593">
        <w:t xml:space="preserve">Protein glutaminase and </w:t>
      </w:r>
      <w:r w:rsidR="00887F5E">
        <w:t>coeliac disease</w:t>
      </w:r>
      <w:bookmarkEnd w:id="61"/>
    </w:p>
    <w:p w14:paraId="21C1E03B" w14:textId="77777777" w:rsidR="00887F5E" w:rsidRPr="00887F5E" w:rsidRDefault="00887F5E" w:rsidP="00887F5E">
      <w:pPr>
        <w:rPr>
          <w:lang w:val="en-AU" w:eastAsia="en-AU" w:bidi="ar-SA"/>
        </w:rPr>
      </w:pPr>
      <w:r w:rsidRPr="00887F5E">
        <w:rPr>
          <w:rFonts w:eastAsia="Calibri" w:cs="Arial"/>
          <w:szCs w:val="22"/>
          <w:lang w:val="en-AU" w:bidi="ar-SA"/>
        </w:rPr>
        <w:t>In its submission to A1136, the New Zealand Institute for Plant &amp; Food Research suggested protein glutaminase could result in the formation of elevated levels of epitopes (small peptides) responsible for coeliac disease in bakery products. The group had previously hypothesised that this effect could arise from the use of microbial transglutaminase in cereal products (</w:t>
      </w:r>
      <w:r w:rsidRPr="00887F5E">
        <w:rPr>
          <w:lang w:val="en-AU" w:eastAsia="en-AU" w:bidi="ar-SA"/>
        </w:rPr>
        <w:t>Gerrard and Sutton 2005)</w:t>
      </w:r>
      <w:r w:rsidRPr="00887F5E">
        <w:rPr>
          <w:rFonts w:eastAsia="Calibri" w:cs="Arial"/>
          <w:szCs w:val="22"/>
          <w:lang w:val="en-AU" w:bidi="ar-SA"/>
        </w:rPr>
        <w:t xml:space="preserve">. </w:t>
      </w:r>
      <w:r w:rsidRPr="00887F5E">
        <w:rPr>
          <w:lang w:val="en-AU" w:eastAsia="en-AU" w:bidi="ar-SA"/>
        </w:rPr>
        <w:t xml:space="preserve">They state that because the level of glutamine deamidation activity is likely to be higher in protein glutaminase than in microbial transglutaminase it is likely that higher levels of the epitopes responsible for coeliac disease may be generated. </w:t>
      </w:r>
      <w:r w:rsidRPr="00887F5E">
        <w:rPr>
          <w:rFonts w:eastAsia="Calibri" w:cs="Arial"/>
          <w:szCs w:val="22"/>
          <w:lang w:val="en-AU" w:bidi="ar-SA"/>
        </w:rPr>
        <w:t xml:space="preserve">It suggested these epitopes could potentially trigger fully developed coeliac disease in pre-disposed individuals. </w:t>
      </w:r>
      <w:r w:rsidRPr="00887F5E">
        <w:rPr>
          <w:rFonts w:eastAsia="Calibri" w:cs="Arial"/>
          <w:szCs w:val="22"/>
          <w:lang w:bidi="ar-SA"/>
        </w:rPr>
        <w:t xml:space="preserve">They therefore </w:t>
      </w:r>
      <w:r w:rsidRPr="00887F5E">
        <w:rPr>
          <w:lang w:val="en-AU" w:eastAsia="en-AU" w:bidi="ar-SA"/>
        </w:rPr>
        <w:t xml:space="preserve">recommended that protein glutaminase is not approved for use in bakery products until further research is done to ensure a clear consensus on the risks associated with its use in bakery products. </w:t>
      </w:r>
    </w:p>
    <w:p w14:paraId="25C3F70D" w14:textId="77777777" w:rsidR="00887F5E" w:rsidRPr="00887F5E" w:rsidRDefault="00887F5E" w:rsidP="00887F5E">
      <w:pPr>
        <w:widowControl/>
        <w:rPr>
          <w:rFonts w:eastAsia="Calibri" w:cs="Arial"/>
          <w:szCs w:val="22"/>
          <w:lang w:val="en-AU" w:bidi="ar-SA"/>
        </w:rPr>
      </w:pPr>
    </w:p>
    <w:p w14:paraId="69E9695D" w14:textId="77777777" w:rsidR="00887F5E" w:rsidRPr="00887F5E" w:rsidRDefault="00887F5E" w:rsidP="00887F5E">
      <w:pPr>
        <w:widowControl/>
        <w:rPr>
          <w:rFonts w:eastAsia="Calibri" w:cs="Arial"/>
          <w:szCs w:val="22"/>
          <w:lang w:val="en-US" w:bidi="ar-SA"/>
        </w:rPr>
      </w:pPr>
      <w:r w:rsidRPr="00887F5E">
        <w:rPr>
          <w:rFonts w:eastAsia="Calibri" w:cs="Arial"/>
          <w:szCs w:val="22"/>
          <w:lang w:val="en-AU" w:bidi="ar-SA"/>
        </w:rPr>
        <w:t xml:space="preserve">In considering changes to the Food Standards Code, FSANZ uses an internationally accepted </w:t>
      </w:r>
      <w:r w:rsidRPr="00887F5E">
        <w:rPr>
          <w:rFonts w:eastAsia="Calibri" w:cs="Arial"/>
          <w:szCs w:val="22"/>
          <w:lang w:val="en-US" w:bidi="ar-SA"/>
        </w:rPr>
        <w:t>risk analysis framework to ensure food regulatory measures are based on the best available scientific evidence. By applying this framework we ensure the effectiveness and appropriateness of food regulatory measures.</w:t>
      </w:r>
    </w:p>
    <w:p w14:paraId="3A7C051A" w14:textId="77777777" w:rsidR="00887F5E" w:rsidRPr="00887F5E" w:rsidRDefault="00887F5E" w:rsidP="00887F5E">
      <w:pPr>
        <w:widowControl/>
        <w:rPr>
          <w:rFonts w:eastAsia="Calibri" w:cs="Arial"/>
          <w:szCs w:val="22"/>
          <w:lang w:val="en-US" w:bidi="ar-SA"/>
        </w:rPr>
      </w:pPr>
    </w:p>
    <w:p w14:paraId="42DC9B00" w14:textId="77777777" w:rsidR="00887F5E" w:rsidRPr="00887F5E" w:rsidRDefault="00887F5E" w:rsidP="00887F5E">
      <w:pPr>
        <w:widowControl/>
        <w:rPr>
          <w:lang w:val="en-AU" w:eastAsia="en-AU" w:bidi="ar-SA"/>
        </w:rPr>
      </w:pPr>
      <w:r w:rsidRPr="00887F5E">
        <w:rPr>
          <w:rFonts w:eastAsia="Calibri" w:cs="Arial"/>
          <w:szCs w:val="22"/>
          <w:lang w:bidi="ar-SA"/>
        </w:rPr>
        <w:t xml:space="preserve">FSANZ has reviewed the literature and </w:t>
      </w:r>
      <w:r w:rsidRPr="00887F5E">
        <w:rPr>
          <w:lang w:val="en-AU" w:eastAsia="en-AU" w:bidi="ar-SA"/>
        </w:rPr>
        <w:t xml:space="preserve">has not identified any evidence of an association between use of protein glutaminase and increased levels of coeliac disease epitopes in foods, or an increased risk of coeliac disease. </w:t>
      </w:r>
    </w:p>
    <w:p w14:paraId="24331FB3" w14:textId="77777777" w:rsidR="00887F5E" w:rsidRPr="00887F5E" w:rsidRDefault="00887F5E" w:rsidP="00887F5E">
      <w:pPr>
        <w:widowControl/>
        <w:rPr>
          <w:lang w:val="en-AU" w:eastAsia="en-AU" w:bidi="ar-SA"/>
        </w:rPr>
      </w:pPr>
    </w:p>
    <w:p w14:paraId="5853E18E" w14:textId="77777777" w:rsidR="00887F5E" w:rsidRPr="00887F5E" w:rsidRDefault="00887F5E" w:rsidP="00887F5E">
      <w:pPr>
        <w:widowControl/>
        <w:rPr>
          <w:lang w:val="en-AU" w:eastAsia="en-AU" w:bidi="ar-SA"/>
        </w:rPr>
      </w:pPr>
      <w:r w:rsidRPr="00887F5E">
        <w:rPr>
          <w:lang w:val="en-AU" w:eastAsia="en-AU" w:bidi="ar-SA"/>
        </w:rPr>
        <w:t xml:space="preserve">Microbial transglutaminase is an approved processing aid in Schedule 18—4(5) of the Code and has a long history of safe use in food processing. Currently there are no clinical or epidemiological data identifying a relationship between coeliac disease and the use of microbial transglutaminase in baked foods. </w:t>
      </w:r>
    </w:p>
    <w:p w14:paraId="2500E206" w14:textId="77777777" w:rsidR="00887F5E" w:rsidRPr="00887F5E" w:rsidRDefault="00887F5E" w:rsidP="00887F5E">
      <w:pPr>
        <w:widowControl/>
        <w:rPr>
          <w:lang w:val="en-AU" w:eastAsia="en-AU" w:bidi="ar-SA"/>
        </w:rPr>
      </w:pPr>
    </w:p>
    <w:p w14:paraId="2DEBC710" w14:textId="77777777" w:rsidR="00887F5E" w:rsidRPr="00887F5E" w:rsidRDefault="00887F5E" w:rsidP="00887F5E">
      <w:pPr>
        <w:widowControl/>
        <w:rPr>
          <w:lang w:val="en-AU" w:eastAsia="en-AU" w:bidi="ar-SA"/>
        </w:rPr>
      </w:pPr>
      <w:r w:rsidRPr="00887F5E">
        <w:rPr>
          <w:lang w:val="en-AU" w:eastAsia="en-AU" w:bidi="ar-SA"/>
        </w:rPr>
        <w:lastRenderedPageBreak/>
        <w:t>Some investigators have shown that microbial transglutaminase deamidates gluten-related peptides (Skovbjerg et al 2004; Dekking et al 2008) and that microbial transglutaminase-treated gluten proteins and other wheat proteins are immunogenic when incubated with serum from coeliac disease patients (Cabrera-Ch</w:t>
      </w:r>
      <w:r w:rsidRPr="00887F5E">
        <w:rPr>
          <w:rFonts w:cs="Arial"/>
          <w:lang w:val="en-AU" w:eastAsia="en-AU" w:bidi="ar-SA"/>
        </w:rPr>
        <w:t>á</w:t>
      </w:r>
      <w:r w:rsidRPr="00887F5E">
        <w:rPr>
          <w:lang w:val="en-AU" w:eastAsia="en-AU" w:bidi="ar-SA"/>
        </w:rPr>
        <w:t xml:space="preserve">vez et al 2008; Dekking et al 2008; Matthias et al 2016). </w:t>
      </w:r>
    </w:p>
    <w:p w14:paraId="49408435" w14:textId="77777777" w:rsidR="00887F5E" w:rsidRPr="00887F5E" w:rsidRDefault="00887F5E" w:rsidP="00887F5E">
      <w:pPr>
        <w:widowControl/>
        <w:rPr>
          <w:lang w:val="en-AU" w:eastAsia="en-AU" w:bidi="ar-SA"/>
        </w:rPr>
      </w:pPr>
    </w:p>
    <w:p w14:paraId="4B1CC576" w14:textId="77777777" w:rsidR="00887F5E" w:rsidRPr="00887F5E" w:rsidRDefault="00887F5E" w:rsidP="00887F5E">
      <w:pPr>
        <w:widowControl/>
        <w:rPr>
          <w:lang w:val="en-AU" w:eastAsia="en-AU" w:bidi="ar-SA"/>
        </w:rPr>
      </w:pPr>
      <w:r w:rsidRPr="00887F5E">
        <w:rPr>
          <w:lang w:val="en-AU" w:eastAsia="en-AU" w:bidi="ar-SA"/>
        </w:rPr>
        <w:t>However, the experimental conditions in many of these studies are of uncertain relevance to the use of microbial transglutaminase in food production. For example, several studies have involved the incubation of the enzyme with synthetic gluten peptides or the use of gluten peptides experimentally bound to transglutaminase, rather than using food production conditions (Skovberg et al 2004; Gianfrani et al 2007; Dekking et al 2008; Matthias et al 2016). In experiments where microbial transglutaminase was used in bakery products, the concentrations were much higher than those used in standard bakery production (Cabrera-Ch</w:t>
      </w:r>
      <w:r w:rsidRPr="00887F5E">
        <w:rPr>
          <w:rFonts w:cs="Arial"/>
          <w:lang w:val="en-AU" w:eastAsia="en-AU" w:bidi="ar-SA"/>
        </w:rPr>
        <w:t>á</w:t>
      </w:r>
      <w:r w:rsidRPr="00887F5E">
        <w:rPr>
          <w:lang w:val="en-AU" w:eastAsia="en-AU" w:bidi="ar-SA"/>
        </w:rPr>
        <w:t xml:space="preserve">vez et al 2008, 2009). </w:t>
      </w:r>
    </w:p>
    <w:p w14:paraId="29D02266" w14:textId="77777777" w:rsidR="00887F5E" w:rsidRPr="00887F5E" w:rsidRDefault="00887F5E" w:rsidP="00887F5E">
      <w:pPr>
        <w:widowControl/>
        <w:rPr>
          <w:lang w:val="en-AU" w:eastAsia="en-AU" w:bidi="ar-SA"/>
        </w:rPr>
      </w:pPr>
    </w:p>
    <w:p w14:paraId="30C4776D" w14:textId="77777777" w:rsidR="00887F5E" w:rsidRPr="00887F5E" w:rsidRDefault="00887F5E" w:rsidP="00887F5E">
      <w:pPr>
        <w:widowControl/>
        <w:rPr>
          <w:lang w:val="en-AU" w:eastAsia="en-AU" w:bidi="ar-SA"/>
        </w:rPr>
      </w:pPr>
      <w:r w:rsidRPr="00887F5E">
        <w:rPr>
          <w:rFonts w:eastAsia="Calibri" w:cs="Arial"/>
          <w:szCs w:val="22"/>
          <w:lang w:val="en-AU" w:bidi="ar-SA"/>
        </w:rPr>
        <w:t>In contrast, other studies have reported no difference in the immunoreactivity of gliadin (a gluten protein) extracted from pasta with or without microbial transglutaminase treatment (Ruh et al 2014), and that microbial transglutaminase treatment of flour or gliadins may inhibit the immunogenic response to gliadin through its cross-linking activity (Gianfrani et al 2008; Lombardi et al 2013; Zhou et al 2017).</w:t>
      </w:r>
      <w:r w:rsidRPr="00887F5E">
        <w:rPr>
          <w:lang w:val="en-AU" w:eastAsia="en-AU" w:bidi="ar-SA"/>
        </w:rPr>
        <w:t xml:space="preserve"> In addition, Heil et al (2017) showed that wheat bread prepared with typical microbial transglutaminase concentrations used in standard bakery processes (approximately 1 – 3 units per kg of flour) does not lead to immunodetectable amounts of celiac disease immunotoxic deamidated gliadins. </w:t>
      </w:r>
    </w:p>
    <w:p w14:paraId="7C26584D" w14:textId="77777777" w:rsidR="00887F5E" w:rsidRPr="00887F5E" w:rsidRDefault="00887F5E" w:rsidP="00887F5E">
      <w:pPr>
        <w:widowControl/>
        <w:rPr>
          <w:lang w:val="en-AU" w:eastAsia="en-AU" w:bidi="ar-SA"/>
        </w:rPr>
      </w:pPr>
    </w:p>
    <w:p w14:paraId="66167BA7" w14:textId="77777777" w:rsidR="00887F5E" w:rsidRPr="00887F5E" w:rsidRDefault="00887F5E" w:rsidP="00887F5E">
      <w:pPr>
        <w:widowControl/>
        <w:rPr>
          <w:lang w:val="en-AU" w:eastAsia="en-AU" w:bidi="ar-SA"/>
        </w:rPr>
      </w:pPr>
      <w:r w:rsidRPr="00887F5E">
        <w:rPr>
          <w:lang w:val="en-AU" w:eastAsia="en-AU" w:bidi="ar-SA"/>
        </w:rPr>
        <w:t xml:space="preserve">Overall, </w:t>
      </w:r>
      <w:r w:rsidRPr="00887F5E">
        <w:rPr>
          <w:rFonts w:eastAsia="Calibri" w:cs="Arial"/>
          <w:szCs w:val="22"/>
          <w:lang w:bidi="ar-SA"/>
        </w:rPr>
        <w:t xml:space="preserve">there is currently no evidence that protein glutaminase or microbial transglutaminase used according to permitted uses in the Food Standards Code are associated with increased levels of coeliac disease epitopes in gluten-containing food or an increased risk of coeliac disease. </w:t>
      </w:r>
      <w:r w:rsidRPr="00887F5E">
        <w:rPr>
          <w:lang w:val="en-AU" w:eastAsia="en-AU" w:bidi="ar-SA"/>
        </w:rPr>
        <w:t xml:space="preserve">Individuals with coeliac disease or gluten intolerance would be advised to completely avoid gluten-containing foods irrespective of whether they are manufactured using protein glutaminase. This would be expected to manage any potential concerns that this enzyme might increase the levels of coeliac disease epitopes in gluten-containing foods and lead to a significantly increased risk of coeliac disease. </w:t>
      </w:r>
    </w:p>
    <w:p w14:paraId="0792B546" w14:textId="77777777" w:rsidR="00887F5E" w:rsidRPr="00887F5E" w:rsidRDefault="00887F5E" w:rsidP="00887F5E">
      <w:pPr>
        <w:widowControl/>
        <w:rPr>
          <w:rFonts w:eastAsia="Calibri" w:cs="Arial"/>
          <w:szCs w:val="22"/>
          <w:lang w:bidi="ar-SA"/>
        </w:rPr>
      </w:pPr>
    </w:p>
    <w:p w14:paraId="2240FEB8" w14:textId="77777777" w:rsidR="00887F5E" w:rsidRPr="00887F5E" w:rsidRDefault="00887F5E" w:rsidP="00887F5E">
      <w:pPr>
        <w:widowControl/>
        <w:rPr>
          <w:lang w:val="en-AU" w:eastAsia="en-AU" w:bidi="ar-SA"/>
        </w:rPr>
      </w:pPr>
      <w:r w:rsidRPr="00887F5E">
        <w:rPr>
          <w:rFonts w:eastAsia="Calibri" w:cs="Arial"/>
          <w:szCs w:val="22"/>
          <w:lang w:bidi="ar-SA"/>
        </w:rPr>
        <w:t xml:space="preserve">FSANZ will continue to monitor any new studies </w:t>
      </w:r>
      <w:r w:rsidRPr="00887F5E">
        <w:rPr>
          <w:lang w:val="en-US" w:eastAsia="en-AU" w:bidi="ar-SA"/>
        </w:rPr>
        <w:t xml:space="preserve">on the use of protein glutaminase and potential links to an increased risk of coeliac disease.  </w:t>
      </w:r>
    </w:p>
    <w:p w14:paraId="3278ACD7" w14:textId="77777777" w:rsidR="00887F5E" w:rsidRPr="00887F5E" w:rsidRDefault="00887F5E" w:rsidP="00887F5E">
      <w:pPr>
        <w:widowControl/>
        <w:rPr>
          <w:lang w:val="en-AU" w:eastAsia="en-AU" w:bidi="ar-SA"/>
        </w:rPr>
      </w:pPr>
    </w:p>
    <w:p w14:paraId="3371B0FE" w14:textId="71A03D3F" w:rsidR="00887F5E" w:rsidRPr="00887F5E" w:rsidRDefault="00887F5E" w:rsidP="00887F5E">
      <w:pPr>
        <w:widowControl/>
        <w:rPr>
          <w:lang w:eastAsia="en-AU" w:bidi="ar-SA"/>
        </w:rPr>
      </w:pPr>
      <w:r w:rsidRPr="00887F5E">
        <w:rPr>
          <w:rFonts w:eastAsia="Calibri" w:cs="Arial"/>
          <w:szCs w:val="22"/>
          <w:lang w:val="en-AU" w:bidi="ar-SA"/>
        </w:rPr>
        <w:t>Based on FSANZ’s assessment of the application, the FSANZ Board recommends the approval of this application.</w:t>
      </w:r>
    </w:p>
    <w:p w14:paraId="17A35E90" w14:textId="2ECFC03C" w:rsidR="002C1A3B" w:rsidRPr="00D51698" w:rsidRDefault="002C1A3B" w:rsidP="002C1A3B">
      <w:pPr>
        <w:pStyle w:val="Heading2"/>
      </w:pPr>
      <w:bookmarkStart w:id="62" w:name="_Toc506902862"/>
      <w:r w:rsidRPr="00D51698">
        <w:t>2.2</w:t>
      </w:r>
      <w:r w:rsidRPr="00D51698">
        <w:tab/>
        <w:t>Risk assessment</w:t>
      </w:r>
      <w:bookmarkEnd w:id="57"/>
      <w:bookmarkEnd w:id="58"/>
      <w:bookmarkEnd w:id="62"/>
      <w:r w:rsidRPr="00D51698">
        <w:t xml:space="preserve"> </w:t>
      </w:r>
    </w:p>
    <w:p w14:paraId="28BC0C6B" w14:textId="5D1A526D" w:rsidR="00D12EAF" w:rsidRPr="00D51698" w:rsidRDefault="00D12EAF" w:rsidP="00D12EAF">
      <w:r w:rsidRPr="00D51698">
        <w:t>FSANZ conducted a risk assessment on the proposed use of the enzyme</w:t>
      </w:r>
      <w:r w:rsidR="00854D9A">
        <w:t xml:space="preserve"> [see</w:t>
      </w:r>
      <w:r w:rsidRPr="00D51698">
        <w:t xml:space="preserve"> supporting document 1 (SD1</w:t>
      </w:r>
      <w:r w:rsidR="00D21946" w:rsidRPr="00D51698">
        <w:t>)</w:t>
      </w:r>
      <w:r w:rsidR="00854D9A">
        <w:t>]</w:t>
      </w:r>
      <w:r w:rsidR="00D21946" w:rsidRPr="00D51698">
        <w:t>.</w:t>
      </w:r>
    </w:p>
    <w:p w14:paraId="5135277B" w14:textId="77777777" w:rsidR="00D12EAF" w:rsidRPr="00D51698" w:rsidRDefault="00D12EAF" w:rsidP="00D12EAF"/>
    <w:p w14:paraId="7F3885E0" w14:textId="022D2251" w:rsidR="00D12EAF" w:rsidRPr="00D51698" w:rsidRDefault="006261D7" w:rsidP="00D12EAF">
      <w:r w:rsidRPr="00D51698">
        <w:t xml:space="preserve">In summary, </w:t>
      </w:r>
      <w:r w:rsidR="00D21946" w:rsidRPr="00D51698">
        <w:t>the</w:t>
      </w:r>
      <w:r w:rsidR="00D12EAF" w:rsidRPr="00D51698">
        <w:t xml:space="preserve"> </w:t>
      </w:r>
      <w:r w:rsidRPr="00D51698">
        <w:t xml:space="preserve">technological </w:t>
      </w:r>
      <w:r w:rsidR="00D12EAF" w:rsidRPr="00D51698">
        <w:t xml:space="preserve">purpose of this enzyme, namely, for use as a processing aid </w:t>
      </w:r>
      <w:r w:rsidR="00854D9A">
        <w:t xml:space="preserve">to manufacture </w:t>
      </w:r>
      <w:r w:rsidR="00D12EAF" w:rsidRPr="00D51698">
        <w:t xml:space="preserve">various </w:t>
      </w:r>
      <w:r w:rsidR="00891A95" w:rsidRPr="00D51698">
        <w:t>proteinaceous foods</w:t>
      </w:r>
      <w:r w:rsidR="00D12EAF" w:rsidRPr="00D51698">
        <w:t xml:space="preserve">, was clearly articulated in the Application. The evidence presented provided adequate assurance that the enzyme, in the form and prescribed amounts, was technologically justified in achieving its </w:t>
      </w:r>
      <w:r w:rsidRPr="00D51698">
        <w:t xml:space="preserve">technological </w:t>
      </w:r>
      <w:r w:rsidR="00D12EAF" w:rsidRPr="00D51698">
        <w:t xml:space="preserve">purpose. </w:t>
      </w:r>
      <w:r w:rsidR="00D93749">
        <w:t>Also</w:t>
      </w:r>
      <w:r w:rsidR="00D12EAF" w:rsidRPr="00D51698">
        <w:t>, it performs its technological purpose during processing and manufacture of food and does not perform a technological purpose in the final food. It is therefore appropriately categorised as a processing aid and not a food additive. The enzyme preparation meets international purity specifications.</w:t>
      </w:r>
    </w:p>
    <w:p w14:paraId="665143D0" w14:textId="77777777" w:rsidR="00D12EAF" w:rsidRDefault="00D12EAF" w:rsidP="00D12EAF"/>
    <w:p w14:paraId="6830EFB3" w14:textId="14363757" w:rsidR="007541F7" w:rsidRDefault="007541F7" w:rsidP="00D12EAF">
      <w:r w:rsidRPr="00600BCA">
        <w:t xml:space="preserve">The technological purpose of </w:t>
      </w:r>
      <w:r>
        <w:t>p</w:t>
      </w:r>
      <w:r w:rsidRPr="00600BCA">
        <w:t xml:space="preserve">rotein </w:t>
      </w:r>
      <w:r>
        <w:t>g</w:t>
      </w:r>
      <w:r w:rsidRPr="00600BCA">
        <w:t xml:space="preserve">lutaminase is to alter the structure </w:t>
      </w:r>
      <w:r>
        <w:t xml:space="preserve">and properties </w:t>
      </w:r>
      <w:r w:rsidRPr="00600BCA">
        <w:t>of protein in foods</w:t>
      </w:r>
      <w:r>
        <w:t xml:space="preserve"> to increase the protein’s solubility. </w:t>
      </w:r>
      <w:r w:rsidRPr="00600BCA">
        <w:t xml:space="preserve">Proteins remain intact during this reaction </w:t>
      </w:r>
      <w:r w:rsidRPr="00600BCA">
        <w:lastRenderedPageBreak/>
        <w:t>and no free amino acids (including glutamic acid</w:t>
      </w:r>
      <w:r>
        <w:t xml:space="preserve"> and salts such as MSG</w:t>
      </w:r>
      <w:r w:rsidRPr="00600BCA">
        <w:t xml:space="preserve">) are produced, meaning </w:t>
      </w:r>
      <w:r w:rsidRPr="007541F7">
        <w:t xml:space="preserve">flavour enhancement </w:t>
      </w:r>
      <w:r w:rsidR="000332AB">
        <w:t>will not occur</w:t>
      </w:r>
      <w:r>
        <w:t xml:space="preserve">. The enzyme acts on proteins, being the glutaminyl residue bound to the large protein molecule to produce the same large protein molecule but now with a bound glutamyl residue; it does not produce small simple molecules like </w:t>
      </w:r>
      <w:r w:rsidR="008C57ED">
        <w:t xml:space="preserve">free glutamate </w:t>
      </w:r>
      <w:r>
        <w:t>(see full explanation in SD1, specifically sections 1.1, 2.1 and 2.3).</w:t>
      </w:r>
    </w:p>
    <w:p w14:paraId="36109956" w14:textId="77777777" w:rsidR="007541F7" w:rsidRPr="00D51698" w:rsidRDefault="007541F7" w:rsidP="00D12EAF"/>
    <w:p w14:paraId="51A571F7" w14:textId="24FA7217" w:rsidR="00D12EAF" w:rsidRPr="00D51698" w:rsidRDefault="00D12EAF" w:rsidP="00D12EAF">
      <w:r w:rsidRPr="00D51698">
        <w:t xml:space="preserve">After undertaking a risk assessment, FSANZ concluded there are no public health and safety issues associated with </w:t>
      </w:r>
      <w:r w:rsidR="00854D9A">
        <w:t>using</w:t>
      </w:r>
      <w:r w:rsidRPr="00D51698">
        <w:t xml:space="preserve"> protein glutaminase (EC number of 3.5.1.44) sourced from </w:t>
      </w:r>
      <w:r w:rsidR="00C77D84" w:rsidRPr="00D51698">
        <w:rPr>
          <w:i/>
        </w:rPr>
        <w:t>C</w:t>
      </w:r>
      <w:r w:rsidR="005D179A" w:rsidRPr="00D51698">
        <w:rPr>
          <w:i/>
        </w:rPr>
        <w:t>.</w:t>
      </w:r>
      <w:r w:rsidR="005D179A">
        <w:rPr>
          <w:i/>
        </w:rPr>
        <w:t> </w:t>
      </w:r>
      <w:r w:rsidR="00C77D84" w:rsidRPr="00D51698">
        <w:rPr>
          <w:i/>
        </w:rPr>
        <w:t xml:space="preserve">proteolyticum </w:t>
      </w:r>
      <w:r w:rsidRPr="00D51698">
        <w:t>strain AE-PG as a food processing aid</w:t>
      </w:r>
      <w:r w:rsidR="00DF3D75">
        <w:t xml:space="preserve"> for the </w:t>
      </w:r>
      <w:r w:rsidR="0032188F">
        <w:t xml:space="preserve">particular </w:t>
      </w:r>
      <w:r w:rsidR="00B47770">
        <w:t xml:space="preserve">technological </w:t>
      </w:r>
      <w:r w:rsidR="00DF3D75">
        <w:t>purpose</w:t>
      </w:r>
      <w:r w:rsidR="00B47770">
        <w:t xml:space="preserve"> </w:t>
      </w:r>
      <w:r w:rsidR="002D0A6A">
        <w:t>of the Application</w:t>
      </w:r>
      <w:r w:rsidRPr="00D51698">
        <w:t xml:space="preserve">. Protein glutaminase was not genotoxic </w:t>
      </w:r>
      <w:r w:rsidRPr="00D51698">
        <w:rPr>
          <w:i/>
        </w:rPr>
        <w:t>in vitro</w:t>
      </w:r>
      <w:r w:rsidRPr="00D51698">
        <w:t xml:space="preserve"> and cause</w:t>
      </w:r>
      <w:r w:rsidR="00F9657D" w:rsidRPr="00D51698">
        <w:t>d no</w:t>
      </w:r>
      <w:r w:rsidRPr="00D51698">
        <w:t xml:space="preserve"> adverse effects in a sub</w:t>
      </w:r>
      <w:r w:rsidR="00CF32C6" w:rsidRPr="00D51698">
        <w:t>-</w:t>
      </w:r>
      <w:r w:rsidRPr="00D51698">
        <w:t>chronic toxicity study in rats. In the absence of any identifiable hazard an Acceptable Daily Intake ‘not specified’ is appropriate. The enzyme does not have the characteristics of a potential food allergen.</w:t>
      </w:r>
    </w:p>
    <w:p w14:paraId="5D82B125" w14:textId="77777777" w:rsidR="002C1A3B" w:rsidRPr="00D51698" w:rsidRDefault="002C1A3B" w:rsidP="002C1A3B">
      <w:pPr>
        <w:pStyle w:val="Heading2"/>
      </w:pPr>
      <w:bookmarkStart w:id="63" w:name="_Toc370223473"/>
      <w:bookmarkStart w:id="64" w:name="_Toc370225388"/>
      <w:bookmarkStart w:id="65" w:name="_Toc506902863"/>
      <w:bookmarkStart w:id="66" w:name="_Toc175381450"/>
      <w:bookmarkEnd w:id="59"/>
      <w:bookmarkEnd w:id="60"/>
      <w:r w:rsidRPr="00D51698">
        <w:t>2.3</w:t>
      </w:r>
      <w:r w:rsidRPr="00D51698">
        <w:tab/>
        <w:t>Risk management</w:t>
      </w:r>
      <w:bookmarkEnd w:id="63"/>
      <w:bookmarkEnd w:id="64"/>
      <w:bookmarkEnd w:id="65"/>
    </w:p>
    <w:p w14:paraId="03605CB1" w14:textId="35FF7E63" w:rsidR="00D12EAF" w:rsidRPr="00D51698" w:rsidRDefault="00D12EAF" w:rsidP="00D12EAF">
      <w:r w:rsidRPr="00D51698">
        <w:t xml:space="preserve">The risk assessment concluded there are no public health and safety concerns associated with using this enzyme as intended. The food technology aspect of the risk assessment concluded that the enzyme meets its stated </w:t>
      </w:r>
      <w:r w:rsidR="00F9657D" w:rsidRPr="00D51698">
        <w:t xml:space="preserve">technological </w:t>
      </w:r>
      <w:r w:rsidRPr="00D51698">
        <w:t xml:space="preserve">purpose for use as a processing aid in the manufacture of </w:t>
      </w:r>
      <w:r w:rsidR="00981C9E">
        <w:t>certain proteinaceous</w:t>
      </w:r>
      <w:r w:rsidR="00981C9E" w:rsidRPr="00D51698">
        <w:t xml:space="preserve"> </w:t>
      </w:r>
      <w:r w:rsidRPr="00D51698">
        <w:t xml:space="preserve">products, and not as a food additive. </w:t>
      </w:r>
      <w:r w:rsidR="00981C9E">
        <w:t>T</w:t>
      </w:r>
      <w:r w:rsidRPr="00D51698">
        <w:t>he main risk management option</w:t>
      </w:r>
      <w:r w:rsidR="00F9657D" w:rsidRPr="00D51698">
        <w:t>s</w:t>
      </w:r>
      <w:r w:rsidRPr="00D51698">
        <w:t xml:space="preserve"> available to FSANZ </w:t>
      </w:r>
      <w:r w:rsidR="00F9657D" w:rsidRPr="00D51698">
        <w:t xml:space="preserve">were </w:t>
      </w:r>
      <w:r w:rsidRPr="00D51698">
        <w:t>to approve or reject the request to amend the Code</w:t>
      </w:r>
      <w:r w:rsidR="00F9657D" w:rsidRPr="00D51698">
        <w:t>,</w:t>
      </w:r>
      <w:r w:rsidRPr="00D51698">
        <w:t xml:space="preserve"> </w:t>
      </w:r>
      <w:r w:rsidR="00F9657D" w:rsidRPr="00D51698">
        <w:t xml:space="preserve">imposing </w:t>
      </w:r>
      <w:r w:rsidRPr="00D51698">
        <w:t xml:space="preserve">any </w:t>
      </w:r>
      <w:r w:rsidR="00F9657D" w:rsidRPr="00D51698">
        <w:t xml:space="preserve">appropriate </w:t>
      </w:r>
      <w:r w:rsidRPr="00D51698">
        <w:t xml:space="preserve">conditions. Other risk management issues for this Application are related to labelling and enzyme nomenclature, which are discussed below. The consideration of costs and benefits summarised in section </w:t>
      </w:r>
      <w:r w:rsidR="00891A95" w:rsidRPr="00D51698">
        <w:t>2.</w:t>
      </w:r>
      <w:r w:rsidRPr="00D51698">
        <w:t>5.1.1 take</w:t>
      </w:r>
      <w:r w:rsidR="00854D9A">
        <w:t>s</w:t>
      </w:r>
      <w:r w:rsidRPr="00D51698">
        <w:t xml:space="preserve"> account of the safety of the enzyme preparation.</w:t>
      </w:r>
    </w:p>
    <w:p w14:paraId="22D0AE78" w14:textId="77777777" w:rsidR="00D12EAF" w:rsidRPr="00D51698" w:rsidRDefault="00D12EAF" w:rsidP="00D12EAF"/>
    <w:p w14:paraId="3AC205F7" w14:textId="50CF74A3" w:rsidR="00D12EAF" w:rsidRPr="00D51698" w:rsidRDefault="00D12EAF" w:rsidP="00981C9E">
      <w:r w:rsidRPr="00D51698">
        <w:t>The Application requested list</w:t>
      </w:r>
      <w:r w:rsidR="00F9657D" w:rsidRPr="00D51698">
        <w:t>ing</w:t>
      </w:r>
      <w:r w:rsidRPr="00D51698">
        <w:t xml:space="preserve"> the permission </w:t>
      </w:r>
      <w:r w:rsidR="00244104" w:rsidRPr="00D51698">
        <w:t>for the enzyme in section S18—4(5), however</w:t>
      </w:r>
      <w:r w:rsidRPr="00D51698">
        <w:t xml:space="preserve"> this would </w:t>
      </w:r>
      <w:r w:rsidR="00244104" w:rsidRPr="00D51698">
        <w:t xml:space="preserve">have </w:t>
      </w:r>
      <w:r w:rsidRPr="00D51698">
        <w:t>permit</w:t>
      </w:r>
      <w:r w:rsidR="00244104" w:rsidRPr="00D51698">
        <w:t>ted</w:t>
      </w:r>
      <w:r w:rsidRPr="00D51698">
        <w:t xml:space="preserve"> the enzyme’s use for any technological purpose. </w:t>
      </w:r>
      <w:r w:rsidR="00244104" w:rsidRPr="00D51698">
        <w:t>This was</w:t>
      </w:r>
      <w:r w:rsidRPr="00D51698">
        <w:t xml:space="preserve"> not consistent with the risk assessment, which assessed the enzyme only for the </w:t>
      </w:r>
      <w:r w:rsidR="00F9657D" w:rsidRPr="00D51698">
        <w:t xml:space="preserve">technological </w:t>
      </w:r>
      <w:r w:rsidRPr="00D51698">
        <w:t xml:space="preserve">purpose stated in the Application. For this reason the permission for the enzyme </w:t>
      </w:r>
      <w:r w:rsidR="00F9657D" w:rsidRPr="00D51698">
        <w:t xml:space="preserve">will be listed </w:t>
      </w:r>
      <w:r w:rsidRPr="00D51698">
        <w:t>in subsection S18</w:t>
      </w:r>
      <w:r w:rsidR="00244104" w:rsidRPr="00D51698">
        <w:t>—9(3)</w:t>
      </w:r>
      <w:r w:rsidR="00F9657D" w:rsidRPr="00D51698">
        <w:t xml:space="preserve">, limiting </w:t>
      </w:r>
      <w:r w:rsidR="00244104" w:rsidRPr="00D51698">
        <w:t xml:space="preserve">its </w:t>
      </w:r>
      <w:r w:rsidR="0032188F">
        <w:t>technological purpose</w:t>
      </w:r>
      <w:r w:rsidR="0032188F" w:rsidRPr="00D51698">
        <w:t xml:space="preserve"> </w:t>
      </w:r>
      <w:r w:rsidR="00244104" w:rsidRPr="00D51698">
        <w:t>t</w:t>
      </w:r>
      <w:r w:rsidR="00891A95" w:rsidRPr="00D51698">
        <w:t xml:space="preserve">o deamidate proteins </w:t>
      </w:r>
      <w:r w:rsidR="00F9657D" w:rsidRPr="00D51698">
        <w:t xml:space="preserve">in </w:t>
      </w:r>
      <w:r w:rsidR="00A36712">
        <w:t xml:space="preserve">the </w:t>
      </w:r>
      <w:r w:rsidR="00A36712" w:rsidRPr="00A36712">
        <w:t xml:space="preserve">manufacture </w:t>
      </w:r>
      <w:r w:rsidR="007764E6" w:rsidRPr="007764E6">
        <w:t xml:space="preserve">and/or processing </w:t>
      </w:r>
      <w:r w:rsidR="00A36712" w:rsidRPr="00A36712">
        <w:t xml:space="preserve">of </w:t>
      </w:r>
      <w:r w:rsidR="00A36712" w:rsidRPr="00A36712">
        <w:rPr>
          <w:bCs/>
          <w:lang w:val="en-AU"/>
        </w:rPr>
        <w:t>baked products</w:t>
      </w:r>
      <w:r w:rsidR="00A7582D">
        <w:rPr>
          <w:bCs/>
          <w:lang w:val="en-AU"/>
        </w:rPr>
        <w:t>,</w:t>
      </w:r>
      <w:r w:rsidR="00A36712" w:rsidRPr="00A36712">
        <w:rPr>
          <w:bCs/>
          <w:lang w:val="en-AU"/>
        </w:rPr>
        <w:t xml:space="preserve"> </w:t>
      </w:r>
      <w:r w:rsidR="00A7582D">
        <w:t>pasta; noodles; milk; other dairy products</w:t>
      </w:r>
      <w:r w:rsidR="00CE338C">
        <w:t>;</w:t>
      </w:r>
      <w:r w:rsidR="00A7582D">
        <w:t xml:space="preserve"> meat; fish; grains; yeast</w:t>
      </w:r>
      <w:r w:rsidR="00A36712" w:rsidRPr="00A36712">
        <w:rPr>
          <w:bCs/>
          <w:lang w:val="en-AU"/>
        </w:rPr>
        <w:t xml:space="preserve"> and egg based products. </w:t>
      </w:r>
      <w:r w:rsidR="00E66A6E" w:rsidRPr="00E75920">
        <w:rPr>
          <w:bCs/>
          <w:lang w:val="en-AU"/>
        </w:rPr>
        <w:t>The Applica</w:t>
      </w:r>
      <w:r w:rsidR="0091704D" w:rsidRPr="00E75920">
        <w:rPr>
          <w:bCs/>
          <w:lang w:val="en-AU"/>
        </w:rPr>
        <w:t xml:space="preserve">nt has confirmed that it had </w:t>
      </w:r>
      <w:r w:rsidR="00923A74" w:rsidRPr="00E75920">
        <w:rPr>
          <w:bCs/>
          <w:lang w:val="en-AU"/>
        </w:rPr>
        <w:t>no</w:t>
      </w:r>
      <w:r w:rsidR="00E66A6E" w:rsidRPr="00E75920">
        <w:rPr>
          <w:bCs/>
          <w:lang w:val="en-AU"/>
        </w:rPr>
        <w:t xml:space="preserve"> objection to this </w:t>
      </w:r>
      <w:r w:rsidR="0091704D" w:rsidRPr="00E75920">
        <w:rPr>
          <w:bCs/>
          <w:lang w:val="en-AU"/>
        </w:rPr>
        <w:t>approach</w:t>
      </w:r>
      <w:r w:rsidR="00E66A6E" w:rsidRPr="00E75920">
        <w:rPr>
          <w:bCs/>
          <w:lang w:val="en-AU"/>
        </w:rPr>
        <w:t>.</w:t>
      </w:r>
    </w:p>
    <w:p w14:paraId="40675D49" w14:textId="77777777" w:rsidR="0092203C" w:rsidRDefault="0092203C" w:rsidP="0092203C">
      <w:pPr>
        <w:pStyle w:val="Heading3"/>
      </w:pPr>
      <w:bookmarkStart w:id="67" w:name="_Toc487795105"/>
      <w:bookmarkStart w:id="68" w:name="_Toc506902864"/>
      <w:r>
        <w:t>2.3</w:t>
      </w:r>
      <w:r w:rsidRPr="00271B86">
        <w:t>.1</w:t>
      </w:r>
      <w:r w:rsidRPr="00271B86">
        <w:tab/>
      </w:r>
      <w:bookmarkStart w:id="69" w:name="_Toc408583004"/>
      <w:bookmarkStart w:id="70" w:name="_Toc427676501"/>
      <w:bookmarkStart w:id="71" w:name="_Toc454787477"/>
      <w:r w:rsidRPr="00271B86">
        <w:t>Levels of addition</w:t>
      </w:r>
      <w:bookmarkEnd w:id="67"/>
      <w:bookmarkEnd w:id="69"/>
      <w:bookmarkEnd w:id="70"/>
      <w:bookmarkEnd w:id="71"/>
      <w:bookmarkEnd w:id="68"/>
      <w:r w:rsidRPr="00271B86">
        <w:t xml:space="preserve"> </w:t>
      </w:r>
    </w:p>
    <w:p w14:paraId="7F8BC871" w14:textId="5CB5504C" w:rsidR="0092203C" w:rsidRDefault="0092203C" w:rsidP="002C1A3B">
      <w:r w:rsidRPr="00271B86">
        <w:t>In the absence of any public health or safety concerns identified by the risk assessment</w:t>
      </w:r>
      <w:r w:rsidR="003A4F2B">
        <w:t xml:space="preserve">, </w:t>
      </w:r>
      <w:r w:rsidRPr="00271B86">
        <w:t xml:space="preserve">there </w:t>
      </w:r>
      <w:r>
        <w:t>was</w:t>
      </w:r>
      <w:r w:rsidRPr="00271B86">
        <w:t xml:space="preserve"> no reason to limit the levels of addition apart from the requirement to use in accordance with GMP.</w:t>
      </w:r>
    </w:p>
    <w:p w14:paraId="773BFC90" w14:textId="77777777" w:rsidR="0092203C" w:rsidRPr="00271B86" w:rsidRDefault="0092203C" w:rsidP="0092203C">
      <w:pPr>
        <w:pStyle w:val="Heading3"/>
      </w:pPr>
      <w:bookmarkStart w:id="72" w:name="_Toc477421843"/>
      <w:bookmarkStart w:id="73" w:name="_Toc478021528"/>
      <w:bookmarkStart w:id="74" w:name="_Toc487795106"/>
      <w:bookmarkStart w:id="75" w:name="_Toc506902865"/>
      <w:r>
        <w:t>2.3</w:t>
      </w:r>
      <w:r w:rsidRPr="00271B86">
        <w:t>.2</w:t>
      </w:r>
      <w:r w:rsidRPr="00271B86">
        <w:tab/>
        <w:t>Specifications</w:t>
      </w:r>
      <w:bookmarkEnd w:id="72"/>
      <w:bookmarkEnd w:id="73"/>
      <w:bookmarkEnd w:id="74"/>
      <w:bookmarkEnd w:id="75"/>
      <w:r w:rsidRPr="00271B86">
        <w:t xml:space="preserve"> </w:t>
      </w:r>
    </w:p>
    <w:p w14:paraId="226D25C0" w14:textId="62A03AB6" w:rsidR="003A4F2B" w:rsidRDefault="00CB7FA9" w:rsidP="003A4F2B">
      <w:pPr>
        <w:widowControl/>
      </w:pPr>
      <w:bookmarkStart w:id="76" w:name="_Toc426969207"/>
      <w:bookmarkStart w:id="77" w:name="_Toc427676505"/>
      <w:bookmarkStart w:id="78" w:name="_Toc454787480"/>
      <w:bookmarkStart w:id="79" w:name="_Toc477421844"/>
      <w:bookmarkStart w:id="80" w:name="_Toc478021529"/>
      <w:bookmarkStart w:id="81" w:name="_Toc487795107"/>
      <w:r>
        <w:t xml:space="preserve">The </w:t>
      </w:r>
      <w:r w:rsidRPr="001A1F77">
        <w:t xml:space="preserve">Codex Alimentarius does not </w:t>
      </w:r>
      <w:r>
        <w:t>establish</w:t>
      </w:r>
      <w:r w:rsidRPr="001A1F77">
        <w:t xml:space="preserve"> standards for processing aids or for enzymes</w:t>
      </w:r>
      <w:r w:rsidR="003A4F2B">
        <w:t>, however there</w:t>
      </w:r>
      <w:r w:rsidR="003A4F2B" w:rsidRPr="001A1F77">
        <w:t xml:space="preserve"> are internationally recogn</w:t>
      </w:r>
      <w:r w:rsidR="003A4F2B">
        <w:t>ised specifications for enzymes</w:t>
      </w:r>
      <w:r w:rsidR="003A4F2B" w:rsidRPr="001A1F77">
        <w:t xml:space="preserve">. These enzyme specifications are </w:t>
      </w:r>
      <w:r w:rsidR="003A4F2B">
        <w:t>established</w:t>
      </w:r>
      <w:r w:rsidR="003A4F2B" w:rsidRPr="001A1F77">
        <w:t xml:space="preserve"> by </w:t>
      </w:r>
      <w:r w:rsidR="003A4F2B" w:rsidRPr="001A1F77">
        <w:rPr>
          <w:noProof/>
        </w:rPr>
        <w:t xml:space="preserve">JECFA </w:t>
      </w:r>
      <w:r w:rsidR="00014577">
        <w:rPr>
          <w:noProof/>
        </w:rPr>
        <w:t>(</w:t>
      </w:r>
      <w:r w:rsidR="003A4F2B" w:rsidRPr="001A1F77">
        <w:rPr>
          <w:noProof/>
        </w:rPr>
        <w:t>2006)</w:t>
      </w:r>
      <w:r w:rsidR="003A4F2B" w:rsidRPr="001A1F77">
        <w:t xml:space="preserve"> and the Food Chemicals Codex (</w:t>
      </w:r>
      <w:r w:rsidR="003A4F2B" w:rsidRPr="00C066A5">
        <w:t>2014</w:t>
      </w:r>
      <w:r w:rsidR="003A4F2B" w:rsidRPr="001A1F77">
        <w:t>).</w:t>
      </w:r>
    </w:p>
    <w:p w14:paraId="40327BB6" w14:textId="77777777" w:rsidR="003A4F2B" w:rsidRDefault="003A4F2B" w:rsidP="003A4F2B">
      <w:pPr>
        <w:widowControl/>
      </w:pPr>
    </w:p>
    <w:p w14:paraId="11F09BA9" w14:textId="3D0672B9" w:rsidR="00CB7FA9" w:rsidRDefault="003A4F2B" w:rsidP="00CB7FA9">
      <w:r>
        <w:t>I</w:t>
      </w:r>
      <w:r w:rsidR="00CB7FA9" w:rsidRPr="001A1F77">
        <w:t xml:space="preserve">ndividual countries </w:t>
      </w:r>
      <w:r w:rsidR="00C9040D" w:rsidRPr="001A1F77">
        <w:t>regulat</w:t>
      </w:r>
      <w:r w:rsidR="00C9040D">
        <w:t>e</w:t>
      </w:r>
      <w:r w:rsidR="00C9040D" w:rsidRPr="001A1F77">
        <w:t xml:space="preserve"> </w:t>
      </w:r>
      <w:r w:rsidR="00CB7FA9" w:rsidRPr="001A1F77">
        <w:t xml:space="preserve">the use of enzymes differently to the Code. </w:t>
      </w:r>
      <w:r w:rsidR="00CB7FA9" w:rsidRPr="00504D18">
        <w:t xml:space="preserve">The enzyme preparation has been approved for use in food production in </w:t>
      </w:r>
      <w:r w:rsidR="00CB7FA9">
        <w:t>France and the USA</w:t>
      </w:r>
      <w:r w:rsidR="00CB7FA9">
        <w:rPr>
          <w:noProof/>
        </w:rPr>
        <w:t>.</w:t>
      </w:r>
    </w:p>
    <w:p w14:paraId="019F92CB" w14:textId="77777777" w:rsidR="0092203C" w:rsidRPr="00271B86" w:rsidRDefault="0092203C" w:rsidP="0092203C">
      <w:pPr>
        <w:pStyle w:val="Heading3"/>
      </w:pPr>
      <w:bookmarkStart w:id="82" w:name="_Toc506902866"/>
      <w:r>
        <w:t>2.3</w:t>
      </w:r>
      <w:r w:rsidRPr="00271B86">
        <w:t>.3</w:t>
      </w:r>
      <w:r w:rsidRPr="00271B86">
        <w:tab/>
        <w:t>Labelling</w:t>
      </w:r>
      <w:bookmarkEnd w:id="76"/>
      <w:bookmarkEnd w:id="77"/>
      <w:bookmarkEnd w:id="78"/>
      <w:bookmarkEnd w:id="79"/>
      <w:bookmarkEnd w:id="80"/>
      <w:bookmarkEnd w:id="81"/>
      <w:bookmarkEnd w:id="82"/>
    </w:p>
    <w:p w14:paraId="73A9D782" w14:textId="70E22E9A" w:rsidR="00CB7FA9" w:rsidRPr="00CB7FA9" w:rsidRDefault="00CB7FA9" w:rsidP="00CB7FA9">
      <w:r w:rsidRPr="00CB7FA9">
        <w:t>As a general rule</w:t>
      </w:r>
      <w:r>
        <w:t>, processing aids, including</w:t>
      </w:r>
      <w:r w:rsidRPr="00CB7FA9">
        <w:t xml:space="preserve"> </w:t>
      </w:r>
      <w:r>
        <w:t>those</w:t>
      </w:r>
      <w:r w:rsidRPr="00CB7FA9">
        <w:t xml:space="preserve"> </w:t>
      </w:r>
      <w:r w:rsidR="001C47BE">
        <w:t xml:space="preserve">in </w:t>
      </w:r>
      <w:r w:rsidRPr="00825510">
        <w:t>subsection in S18—9(3)</w:t>
      </w:r>
      <w:r w:rsidR="00F91E76">
        <w:t>,</w:t>
      </w:r>
      <w:r w:rsidRPr="00825510">
        <w:t xml:space="preserve"> are </w:t>
      </w:r>
      <w:r w:rsidRPr="00CB7FA9">
        <w:t xml:space="preserve">exempt from the requirement to be declared in the statement of ingredients in accordance with paragraphs 1.2.4—3(2)(d) and (e) in Standard 1.2.4. </w:t>
      </w:r>
    </w:p>
    <w:p w14:paraId="55BD832C" w14:textId="77777777" w:rsidR="00CB7FA9" w:rsidRPr="00CB7FA9" w:rsidRDefault="00CB7FA9" w:rsidP="00CB7FA9"/>
    <w:p w14:paraId="2B443717" w14:textId="62D78D9A" w:rsidR="00162775" w:rsidRDefault="00CB7FA9" w:rsidP="00CB7FA9">
      <w:r w:rsidRPr="00CB7FA9">
        <w:t xml:space="preserve">The risk assessment concluded that the use of the enzyme preparation </w:t>
      </w:r>
      <w:r w:rsidR="00CE2C58">
        <w:t xml:space="preserve">as a processing aid </w:t>
      </w:r>
      <w:r w:rsidRPr="00CB7FA9">
        <w:t xml:space="preserve">poses no risk to public health and safety and </w:t>
      </w:r>
      <w:r w:rsidR="00CE2C58">
        <w:t xml:space="preserve">that </w:t>
      </w:r>
      <w:r w:rsidRPr="00CB7FA9">
        <w:t xml:space="preserve">it </w:t>
      </w:r>
      <w:r w:rsidR="00CE2C58">
        <w:t xml:space="preserve">will </w:t>
      </w:r>
      <w:r w:rsidRPr="00CB7FA9">
        <w:t xml:space="preserve">perform </w:t>
      </w:r>
      <w:r w:rsidR="00CE2C58">
        <w:t>the</w:t>
      </w:r>
      <w:r w:rsidR="00CE2C58" w:rsidRPr="00CB7FA9">
        <w:t xml:space="preserve"> </w:t>
      </w:r>
      <w:r w:rsidR="00CE2C58">
        <w:t xml:space="preserve">specified </w:t>
      </w:r>
      <w:r w:rsidRPr="00CB7FA9">
        <w:t xml:space="preserve">technological purpose as a processing aid. Therefore, </w:t>
      </w:r>
      <w:r w:rsidR="00CE2C58">
        <w:t>no</w:t>
      </w:r>
      <w:r w:rsidR="00CE2C58" w:rsidRPr="00CB7FA9">
        <w:t xml:space="preserve"> additional labelling requirements are </w:t>
      </w:r>
      <w:r w:rsidR="00CE2C58">
        <w:t>required in this case</w:t>
      </w:r>
      <w:r w:rsidR="00CE2C58" w:rsidRPr="00CB7FA9">
        <w:t xml:space="preserve">. </w:t>
      </w:r>
      <w:r w:rsidR="00CE2C58">
        <w:t>The</w:t>
      </w:r>
      <w:r w:rsidR="00CE2C58" w:rsidRPr="00CB7FA9">
        <w:t xml:space="preserve"> </w:t>
      </w:r>
      <w:r w:rsidR="00CE2C58">
        <w:t>general</w:t>
      </w:r>
      <w:r w:rsidR="00CC2F67" w:rsidRPr="00CB7FA9">
        <w:t xml:space="preserve"> </w:t>
      </w:r>
      <w:r w:rsidRPr="00CB7FA9">
        <w:t xml:space="preserve">exemption </w:t>
      </w:r>
      <w:r w:rsidR="00CE2C58">
        <w:t xml:space="preserve">for processing aids </w:t>
      </w:r>
      <w:r w:rsidRPr="00CB7FA9">
        <w:t>will apply to foods produced using this enzyme as a processing aid</w:t>
      </w:r>
      <w:r w:rsidR="00CE2C58">
        <w:t>.</w:t>
      </w:r>
    </w:p>
    <w:p w14:paraId="3C8DE5A6" w14:textId="77777777" w:rsidR="002669A9" w:rsidRDefault="002669A9" w:rsidP="00CB7FA9"/>
    <w:p w14:paraId="1DFF7AC8" w14:textId="247B3C14" w:rsidR="00CE2C58" w:rsidRDefault="00CE2C58" w:rsidP="00CE2C58">
      <w:r>
        <w:t>See also the examination of labelling issues</w:t>
      </w:r>
      <w:r w:rsidRPr="00825510">
        <w:t xml:space="preserve"> in</w:t>
      </w:r>
      <w:r>
        <w:t xml:space="preserve"> Table 1</w:t>
      </w:r>
      <w:r w:rsidRPr="00825510">
        <w:t>.</w:t>
      </w:r>
    </w:p>
    <w:p w14:paraId="3EB1D70A" w14:textId="04D55D47" w:rsidR="0092203C" w:rsidRPr="008C301D" w:rsidRDefault="0092203C" w:rsidP="0092203C">
      <w:pPr>
        <w:pStyle w:val="Heading2"/>
      </w:pPr>
      <w:bookmarkStart w:id="83" w:name="_Toc485047322"/>
      <w:bookmarkStart w:id="84" w:name="_Toc487795108"/>
      <w:bookmarkStart w:id="85" w:name="_Toc506902867"/>
      <w:r>
        <w:t>2</w:t>
      </w:r>
      <w:r w:rsidRPr="008C301D">
        <w:t>.</w:t>
      </w:r>
      <w:r>
        <w:t>4</w:t>
      </w:r>
      <w:r w:rsidRPr="008C301D">
        <w:tab/>
        <w:t>Risk communication</w:t>
      </w:r>
      <w:bookmarkEnd w:id="83"/>
      <w:bookmarkEnd w:id="84"/>
      <w:bookmarkEnd w:id="85"/>
      <w:r w:rsidRPr="008C301D">
        <w:t xml:space="preserve"> </w:t>
      </w:r>
    </w:p>
    <w:p w14:paraId="47938375" w14:textId="77777777" w:rsidR="0092203C" w:rsidRPr="00CA3CAF" w:rsidRDefault="0092203C" w:rsidP="0092203C">
      <w:pPr>
        <w:pStyle w:val="Heading3"/>
      </w:pPr>
      <w:bookmarkStart w:id="86" w:name="_Toc485047323"/>
      <w:bookmarkStart w:id="87" w:name="_Toc487795109"/>
      <w:bookmarkStart w:id="88" w:name="_Toc506902868"/>
      <w:r w:rsidRPr="00CA3CAF">
        <w:t>2.4.1</w:t>
      </w:r>
      <w:r w:rsidRPr="00CA3CAF">
        <w:tab/>
        <w:t>Consultation</w:t>
      </w:r>
      <w:bookmarkEnd w:id="86"/>
      <w:bookmarkEnd w:id="87"/>
      <w:bookmarkEnd w:id="88"/>
    </w:p>
    <w:p w14:paraId="0126FDC5" w14:textId="02BAD2E2" w:rsidR="0092203C" w:rsidRPr="00524A68" w:rsidRDefault="0092203C" w:rsidP="0092203C">
      <w:pPr>
        <w:rPr>
          <w:szCs w:val="22"/>
        </w:rPr>
      </w:pPr>
      <w:r w:rsidRPr="00524A68">
        <w:rPr>
          <w:szCs w:val="22"/>
        </w:rPr>
        <w:t xml:space="preserve">Consultation is a key part of FSANZ’s standards development process. </w:t>
      </w:r>
      <w:r>
        <w:rPr>
          <w:szCs w:val="22"/>
        </w:rPr>
        <w:t xml:space="preserve">Public submissions on a proposed draft variation to Schedule 18 were called </w:t>
      </w:r>
      <w:r w:rsidR="005B60F0">
        <w:rPr>
          <w:szCs w:val="22"/>
        </w:rPr>
        <w:t>on</w:t>
      </w:r>
      <w:r>
        <w:rPr>
          <w:szCs w:val="22"/>
        </w:rPr>
        <w:t xml:space="preserve"> </w:t>
      </w:r>
      <w:r w:rsidR="003E2A6A" w:rsidRPr="003E2A6A">
        <w:rPr>
          <w:szCs w:val="22"/>
        </w:rPr>
        <w:t>21</w:t>
      </w:r>
      <w:r w:rsidR="001C47BE">
        <w:rPr>
          <w:szCs w:val="22"/>
        </w:rPr>
        <w:t xml:space="preserve"> </w:t>
      </w:r>
      <w:r w:rsidR="003E2A6A" w:rsidRPr="003E2A6A">
        <w:rPr>
          <w:szCs w:val="22"/>
        </w:rPr>
        <w:t xml:space="preserve">September 2017 </w:t>
      </w:r>
      <w:r w:rsidR="005B60F0">
        <w:rPr>
          <w:szCs w:val="22"/>
        </w:rPr>
        <w:t xml:space="preserve">and closed 2 </w:t>
      </w:r>
      <w:r w:rsidR="003E2A6A" w:rsidRPr="003E2A6A">
        <w:rPr>
          <w:szCs w:val="22"/>
        </w:rPr>
        <w:t>November 2017</w:t>
      </w:r>
      <w:r w:rsidR="003E2A6A">
        <w:rPr>
          <w:szCs w:val="22"/>
        </w:rPr>
        <w:t>.</w:t>
      </w:r>
    </w:p>
    <w:p w14:paraId="4FE20F02" w14:textId="77777777" w:rsidR="0092203C" w:rsidRPr="00524A68" w:rsidRDefault="0092203C" w:rsidP="0092203C">
      <w:pPr>
        <w:rPr>
          <w:szCs w:val="22"/>
        </w:rPr>
      </w:pPr>
    </w:p>
    <w:p w14:paraId="2E66B285" w14:textId="50113680" w:rsidR="0092203C" w:rsidRPr="004F6226" w:rsidRDefault="0092203C" w:rsidP="0092203C">
      <w:r>
        <w:t xml:space="preserve">The call for submissions was notified through a media release, Food Standards News and FSANZ’s social media channels. </w:t>
      </w:r>
      <w:r w:rsidR="00F018AE">
        <w:t xml:space="preserve">FSANZ has communicated directly with some submitters on issues raised relating to coeliac disease and MSG. A </w:t>
      </w:r>
      <w:hyperlink r:id="rId18" w:history="1">
        <w:r w:rsidR="00F018AE" w:rsidRPr="00C45C47">
          <w:rPr>
            <w:rStyle w:val="Hyperlink"/>
          </w:rPr>
          <w:t>web page was also developed</w:t>
        </w:r>
      </w:hyperlink>
      <w:r w:rsidR="00F018AE">
        <w:t xml:space="preserve"> to addressed concerns about MSG. </w:t>
      </w:r>
    </w:p>
    <w:p w14:paraId="34DB61BF" w14:textId="77777777" w:rsidR="0092203C" w:rsidRPr="004F6226" w:rsidRDefault="0092203C" w:rsidP="0092203C"/>
    <w:p w14:paraId="7D4B6527" w14:textId="3D16BF3B" w:rsidR="002C1A3B" w:rsidRPr="00825510" w:rsidRDefault="003E2A6A" w:rsidP="00CB7FA9">
      <w:pPr>
        <w:rPr>
          <w:szCs w:val="22"/>
        </w:rPr>
      </w:pPr>
      <w:r w:rsidRPr="003E2A6A">
        <w:t xml:space="preserve">Seven submissions were received </w:t>
      </w:r>
      <w:r>
        <w:t>from various stakeholders</w:t>
      </w:r>
      <w:r w:rsidR="0092203C">
        <w:t xml:space="preserve"> </w:t>
      </w:r>
      <w:r w:rsidR="005B60F0">
        <w:t>and</w:t>
      </w:r>
      <w:r w:rsidR="0092203C" w:rsidRPr="004F6226">
        <w:rPr>
          <w:szCs w:val="22"/>
        </w:rPr>
        <w:t xml:space="preserve"> considered by the FSANZ Board. FSANZ </w:t>
      </w:r>
      <w:r w:rsidR="0092203C" w:rsidRPr="00825510">
        <w:rPr>
          <w:szCs w:val="22"/>
        </w:rPr>
        <w:t xml:space="preserve">acknowledges the </w:t>
      </w:r>
      <w:r w:rsidR="005B60F0" w:rsidRPr="00825510">
        <w:rPr>
          <w:szCs w:val="22"/>
        </w:rPr>
        <w:t>valuable contribution by</w:t>
      </w:r>
      <w:r w:rsidR="0092203C" w:rsidRPr="00825510">
        <w:rPr>
          <w:szCs w:val="22"/>
        </w:rPr>
        <w:t xml:space="preserve"> these organisations to the rigour of our assessment. </w:t>
      </w:r>
      <w:bookmarkStart w:id="89" w:name="_Toc286391012"/>
      <w:bookmarkEnd w:id="66"/>
    </w:p>
    <w:p w14:paraId="42A015E7" w14:textId="77777777" w:rsidR="002C1A3B" w:rsidRPr="00825510" w:rsidRDefault="002C1A3B" w:rsidP="002C1A3B">
      <w:pPr>
        <w:pStyle w:val="Heading2"/>
      </w:pPr>
      <w:bookmarkStart w:id="90" w:name="_Toc370223477"/>
      <w:bookmarkStart w:id="91" w:name="_Toc370225392"/>
      <w:bookmarkStart w:id="92" w:name="_Toc506902869"/>
      <w:bookmarkStart w:id="93" w:name="_Toc309291816"/>
      <w:bookmarkStart w:id="94" w:name="_Toc300933448"/>
      <w:bookmarkStart w:id="95" w:name="_Toc300933577"/>
      <w:bookmarkStart w:id="96" w:name="_Toc301535601"/>
      <w:bookmarkStart w:id="97" w:name="_Toc309385464"/>
      <w:bookmarkStart w:id="98" w:name="_Toc175381456"/>
      <w:bookmarkEnd w:id="40"/>
      <w:bookmarkEnd w:id="41"/>
      <w:bookmarkEnd w:id="42"/>
      <w:bookmarkEnd w:id="43"/>
      <w:bookmarkEnd w:id="44"/>
      <w:bookmarkEnd w:id="45"/>
      <w:bookmarkEnd w:id="89"/>
      <w:r w:rsidRPr="00825510">
        <w:t>2.5</w:t>
      </w:r>
      <w:r w:rsidRPr="00825510">
        <w:tab/>
        <w:t>FSANZ Act assessment requirements</w:t>
      </w:r>
      <w:bookmarkEnd w:id="90"/>
      <w:bookmarkEnd w:id="91"/>
      <w:bookmarkEnd w:id="92"/>
    </w:p>
    <w:p w14:paraId="12750F52" w14:textId="3F2F6388" w:rsidR="002C1A3B" w:rsidRPr="00825510" w:rsidRDefault="002C1A3B" w:rsidP="002C1A3B">
      <w:pPr>
        <w:pStyle w:val="Heading3"/>
      </w:pPr>
      <w:bookmarkStart w:id="99" w:name="_Toc370223478"/>
      <w:bookmarkStart w:id="100" w:name="_Toc370225393"/>
      <w:bookmarkStart w:id="101" w:name="_Toc506902870"/>
      <w:bookmarkEnd w:id="93"/>
      <w:bookmarkEnd w:id="94"/>
      <w:bookmarkEnd w:id="95"/>
      <w:bookmarkEnd w:id="96"/>
      <w:bookmarkEnd w:id="97"/>
      <w:r w:rsidRPr="00825510">
        <w:t>2.5.1</w:t>
      </w:r>
      <w:r w:rsidRPr="00825510">
        <w:tab/>
        <w:t>Section 29</w:t>
      </w:r>
      <w:bookmarkEnd w:id="99"/>
      <w:bookmarkEnd w:id="100"/>
      <w:bookmarkEnd w:id="101"/>
    </w:p>
    <w:p w14:paraId="2FD96C72" w14:textId="77777777" w:rsidR="002C1A3B" w:rsidRPr="00AC7D02" w:rsidRDefault="002C1A3B" w:rsidP="00886E37">
      <w:pPr>
        <w:pStyle w:val="Heading4"/>
      </w:pPr>
      <w:r w:rsidRPr="00AC7D02">
        <w:t>2.5.1.1</w:t>
      </w:r>
      <w:r w:rsidRPr="00AC7D02">
        <w:tab/>
      </w:r>
      <w:r w:rsidR="00BF45A3" w:rsidRPr="00AC7D02">
        <w:t>Consideration of costs and</w:t>
      </w:r>
      <w:r w:rsidRPr="00AC7D02">
        <w:t xml:space="preserve"> benefit</w:t>
      </w:r>
      <w:r w:rsidR="00BF45A3" w:rsidRPr="00AC7D02">
        <w:t>s</w:t>
      </w:r>
    </w:p>
    <w:p w14:paraId="0F61BA21" w14:textId="50AD203B" w:rsidR="001F2A0D" w:rsidRDefault="001F2A0D" w:rsidP="001F2A0D">
      <w:pPr>
        <w:rPr>
          <w:bCs/>
        </w:rPr>
      </w:pPr>
      <w:r w:rsidRPr="00825510">
        <w:rPr>
          <w:bCs/>
        </w:rPr>
        <w:t xml:space="preserve">The Office of Best Practice Regulation (OBPR) granted FSANZ a standing exemption from </w:t>
      </w:r>
      <w:r w:rsidR="00E17C21">
        <w:rPr>
          <w:bCs/>
        </w:rPr>
        <w:t>the requirement</w:t>
      </w:r>
      <w:r w:rsidRPr="00825510">
        <w:rPr>
          <w:bCs/>
        </w:rPr>
        <w:t xml:space="preserve"> to develop a Regulatory Impact Statement for the approval of additional processing aids</w:t>
      </w:r>
      <w:r w:rsidR="00E75156">
        <w:rPr>
          <w:bCs/>
        </w:rPr>
        <w:t xml:space="preserve"> (OBPR</w:t>
      </w:r>
      <w:r w:rsidRPr="00825510">
        <w:rPr>
          <w:bCs/>
        </w:rPr>
        <w:t xml:space="preserve"> </w:t>
      </w:r>
      <w:r w:rsidR="00E75156">
        <w:rPr>
          <w:bCs/>
        </w:rPr>
        <w:t>correspondence</w:t>
      </w:r>
      <w:r w:rsidRPr="00825510">
        <w:rPr>
          <w:bCs/>
        </w:rPr>
        <w:t xml:space="preserve"> dated 24 November 2010</w:t>
      </w:r>
      <w:r w:rsidR="00E75156">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1DD968AF" w14:textId="77777777" w:rsidR="001F2A0D" w:rsidRDefault="001F2A0D" w:rsidP="008F2ECE">
      <w:pPr>
        <w:rPr>
          <w:rFonts w:cs="Arial"/>
        </w:rPr>
      </w:pPr>
    </w:p>
    <w:p w14:paraId="548CADC7" w14:textId="52117370" w:rsidR="008F2ECE" w:rsidRDefault="00D01634" w:rsidP="008F2ECE">
      <w:r>
        <w:rPr>
          <w:rFonts w:cs="Arial"/>
        </w:rPr>
        <w:t xml:space="preserve">However, notwithstanding that exemption, the FSANZ Act requires </w:t>
      </w:r>
      <w:r w:rsidR="008F2ECE" w:rsidRPr="004335DC">
        <w:rPr>
          <w:rFonts w:cs="Arial"/>
        </w:rPr>
        <w:t xml:space="preserve">FSANZ to </w:t>
      </w:r>
      <w:r w:rsidR="00D57103">
        <w:rPr>
          <w:rFonts w:cs="Arial"/>
        </w:rPr>
        <w:t>have regard to</w:t>
      </w:r>
      <w:r w:rsidR="00D57103" w:rsidRPr="004335DC">
        <w:rPr>
          <w:rFonts w:cs="Arial"/>
        </w:rPr>
        <w:t xml:space="preserve"> </w:t>
      </w:r>
      <w:r w:rsidR="006736A3">
        <w:rPr>
          <w:szCs w:val="22"/>
        </w:rPr>
        <w:t xml:space="preserve">whether costs that would arise from </w:t>
      </w:r>
      <w:r w:rsidR="00A007B8">
        <w:rPr>
          <w:szCs w:val="22"/>
        </w:rPr>
        <w:t>the proposed</w:t>
      </w:r>
      <w:r w:rsidR="006736A3">
        <w:rPr>
          <w:szCs w:val="22"/>
        </w:rPr>
        <w:t xml:space="preserve"> measure </w:t>
      </w:r>
      <w:r w:rsidR="00BA70D9">
        <w:rPr>
          <w:szCs w:val="22"/>
        </w:rPr>
        <w:t xml:space="preserve">outweigh the direct and indirect benefits to the community, government or industry that would arise from the </w:t>
      </w:r>
      <w:r w:rsidR="00A007B8">
        <w:rPr>
          <w:szCs w:val="22"/>
        </w:rPr>
        <w:t>proposed measure</w:t>
      </w:r>
      <w:r w:rsidR="008F2ECE" w:rsidRPr="004335DC">
        <w:rPr>
          <w:rFonts w:cs="Arial"/>
        </w:rPr>
        <w:t xml:space="preserve">. </w:t>
      </w:r>
    </w:p>
    <w:p w14:paraId="27A3F7C3" w14:textId="77777777" w:rsidR="001C47BE" w:rsidRPr="00825510" w:rsidRDefault="001C47BE" w:rsidP="008F2ECE">
      <w:pPr>
        <w:rPr>
          <w:rFonts w:cs="Arial"/>
        </w:rPr>
      </w:pPr>
    </w:p>
    <w:p w14:paraId="33FB402B" w14:textId="640E7CDA" w:rsidR="00162775" w:rsidRDefault="006B1EC3" w:rsidP="00C40CF0">
      <w:r w:rsidRPr="00825510">
        <w:rPr>
          <w:bCs/>
        </w:rPr>
        <w:t>FSANZ</w:t>
      </w:r>
      <w:r w:rsidR="002F55D7">
        <w:rPr>
          <w:bCs/>
        </w:rPr>
        <w:t xml:space="preserve">’s assessment is </w:t>
      </w:r>
      <w:r w:rsidR="002F55D7">
        <w:t xml:space="preserve">that the direct and indirect benefits </w:t>
      </w:r>
      <w:r w:rsidR="002F55D7" w:rsidRPr="00914030">
        <w:t xml:space="preserve">that would arise from </w:t>
      </w:r>
      <w:r w:rsidR="002F55D7" w:rsidRPr="00825510">
        <w:t>permitting the use of protein glutaminase as a processing aid</w:t>
      </w:r>
      <w:r w:rsidR="002F55D7" w:rsidRPr="00F76827">
        <w:t xml:space="preserve"> </w:t>
      </w:r>
      <w:r w:rsidR="002F55D7" w:rsidRPr="00914030">
        <w:t xml:space="preserve">outweigh the </w:t>
      </w:r>
      <w:r w:rsidR="002F55D7">
        <w:t>costs</w:t>
      </w:r>
      <w:r w:rsidR="002F55D7" w:rsidRPr="00914030">
        <w:t xml:space="preserve"> </w:t>
      </w:r>
      <w:r w:rsidR="002F55D7">
        <w:t>arising</w:t>
      </w:r>
      <w:r w:rsidR="002F55D7" w:rsidRPr="00914030">
        <w:t xml:space="preserve"> from </w:t>
      </w:r>
      <w:r w:rsidR="002F55D7">
        <w:t>that permission being granted</w:t>
      </w:r>
      <w:r w:rsidR="00DD764F">
        <w:t xml:space="preserve">. </w:t>
      </w:r>
    </w:p>
    <w:p w14:paraId="7BA51688" w14:textId="77777777" w:rsidR="00162775" w:rsidRPr="00825510" w:rsidRDefault="00162775" w:rsidP="00C40CF0"/>
    <w:p w14:paraId="1196DCFF" w14:textId="2F54B62A" w:rsidR="00C40CF0" w:rsidRPr="00162775" w:rsidRDefault="002F55D7" w:rsidP="00162775">
      <w:pPr>
        <w:rPr>
          <w:szCs w:val="22"/>
        </w:rPr>
      </w:pPr>
      <w:r>
        <w:rPr>
          <w:szCs w:val="22"/>
        </w:rPr>
        <w:t>The</w:t>
      </w:r>
      <w:r w:rsidR="004B0AD1" w:rsidRPr="00162775">
        <w:rPr>
          <w:szCs w:val="22"/>
        </w:rPr>
        <w:t xml:space="preserve"> use of the enzyme as a processing aid </w:t>
      </w:r>
      <w:r>
        <w:rPr>
          <w:szCs w:val="22"/>
        </w:rPr>
        <w:t>in the manner proposed</w:t>
      </w:r>
      <w:r w:rsidR="004B0AD1" w:rsidRPr="00162775">
        <w:rPr>
          <w:szCs w:val="22"/>
        </w:rPr>
        <w:t xml:space="preserve"> will not pose a health or safety risk for consumers</w:t>
      </w:r>
      <w:r>
        <w:rPr>
          <w:szCs w:val="22"/>
        </w:rPr>
        <w:t xml:space="preserve"> (see above)</w:t>
      </w:r>
      <w:r w:rsidR="004B0AD1" w:rsidRPr="00162775">
        <w:rPr>
          <w:szCs w:val="22"/>
        </w:rPr>
        <w:t xml:space="preserve">. </w:t>
      </w:r>
      <w:r w:rsidR="00C40CF0" w:rsidRPr="00162775">
        <w:rPr>
          <w:szCs w:val="22"/>
        </w:rPr>
        <w:t>Consumers may benefit from</w:t>
      </w:r>
      <w:r w:rsidR="004B0AD1" w:rsidRPr="00162775">
        <w:rPr>
          <w:szCs w:val="22"/>
        </w:rPr>
        <w:t>:</w:t>
      </w:r>
      <w:r w:rsidR="00C40CF0" w:rsidRPr="00162775">
        <w:rPr>
          <w:szCs w:val="22"/>
        </w:rPr>
        <w:t xml:space="preserve"> foods having improved texture </w:t>
      </w:r>
      <w:r w:rsidR="00695B21">
        <w:rPr>
          <w:szCs w:val="22"/>
        </w:rPr>
        <w:t>and</w:t>
      </w:r>
      <w:r w:rsidR="00C40CF0" w:rsidRPr="00162775">
        <w:rPr>
          <w:szCs w:val="22"/>
        </w:rPr>
        <w:t xml:space="preserve"> </w:t>
      </w:r>
      <w:r w:rsidR="00695B21">
        <w:rPr>
          <w:szCs w:val="22"/>
        </w:rPr>
        <w:t>r</w:t>
      </w:r>
      <w:r w:rsidR="0062145F" w:rsidRPr="00E75920">
        <w:rPr>
          <w:szCs w:val="22"/>
        </w:rPr>
        <w:t>educ</w:t>
      </w:r>
      <w:r w:rsidR="00D23427">
        <w:rPr>
          <w:szCs w:val="22"/>
        </w:rPr>
        <w:t>ed</w:t>
      </w:r>
      <w:r w:rsidR="0062145F" w:rsidRPr="00E75920">
        <w:rPr>
          <w:szCs w:val="22"/>
        </w:rPr>
        <w:t xml:space="preserve"> off flavours</w:t>
      </w:r>
      <w:r w:rsidR="004B0AD1" w:rsidRPr="00E75920">
        <w:rPr>
          <w:szCs w:val="22"/>
        </w:rPr>
        <w:t>;</w:t>
      </w:r>
      <w:r w:rsidR="00C40CF0" w:rsidRPr="00162775">
        <w:rPr>
          <w:szCs w:val="22"/>
        </w:rPr>
        <w:t xml:space="preserve"> </w:t>
      </w:r>
      <w:r w:rsidR="004B0AD1" w:rsidRPr="00162775">
        <w:rPr>
          <w:szCs w:val="22"/>
        </w:rPr>
        <w:t xml:space="preserve">the </w:t>
      </w:r>
      <w:r w:rsidR="004B0AD1" w:rsidRPr="0062145F">
        <w:rPr>
          <w:szCs w:val="22"/>
        </w:rPr>
        <w:t xml:space="preserve">choice of an additional range of food products that become available due to the use of enzyme by Australian and New Zealand manufacturers; and </w:t>
      </w:r>
      <w:r w:rsidR="004B0AD1" w:rsidRPr="00162775">
        <w:rPr>
          <w:szCs w:val="22"/>
        </w:rPr>
        <w:t>access to products manufactured using enzyme that are currently manufactured overseas</w:t>
      </w:r>
      <w:r w:rsidR="004B0AD1" w:rsidRPr="0062145F">
        <w:rPr>
          <w:szCs w:val="22"/>
        </w:rPr>
        <w:t>. If permission to use the enzyme as a processing aid is not granted, consumers may have access to a smaller range of products.</w:t>
      </w:r>
    </w:p>
    <w:p w14:paraId="3C1AA31C" w14:textId="77777777" w:rsidR="00162775" w:rsidRPr="0062145F" w:rsidRDefault="00162775" w:rsidP="00162775">
      <w:pPr>
        <w:rPr>
          <w:szCs w:val="22"/>
        </w:rPr>
      </w:pPr>
    </w:p>
    <w:p w14:paraId="3626D5FE" w14:textId="4578325C" w:rsidR="004B0AD1" w:rsidRPr="00162775" w:rsidRDefault="004B0AD1" w:rsidP="00162775">
      <w:pPr>
        <w:rPr>
          <w:szCs w:val="22"/>
        </w:rPr>
      </w:pPr>
      <w:r w:rsidRPr="0062145F">
        <w:rPr>
          <w:szCs w:val="22"/>
        </w:rPr>
        <w:t>Protein glutaminase benefits food manufacturers by enhancing protein solubility in various applications such as baking, pasta/noodle making, milk, dairy, meat, fish, grain processing</w:t>
      </w:r>
      <w:r w:rsidRPr="0062145F">
        <w:rPr>
          <w:rFonts w:cs="Arial"/>
          <w:szCs w:val="22"/>
        </w:rPr>
        <w:t xml:space="preserve"> and manufacture of yeast products and egg-based products. The functionality that protein glutaminase provides is an improvement in emulsification, foam stabilisation and gelling. It can also decrease ‘off flavour’ problems associated with flavour-protein interactions</w:t>
      </w:r>
      <w:r w:rsidR="0062145F">
        <w:rPr>
          <w:rFonts w:cs="Arial"/>
          <w:szCs w:val="22"/>
        </w:rPr>
        <w:t xml:space="preserve">, </w:t>
      </w:r>
      <w:r w:rsidR="0062145F" w:rsidRPr="00E75920">
        <w:rPr>
          <w:rFonts w:cs="Arial"/>
          <w:szCs w:val="22"/>
        </w:rPr>
        <w:t>found in alternative technologies such as chemical and thermal treatments</w:t>
      </w:r>
      <w:r w:rsidRPr="00E75920">
        <w:rPr>
          <w:rFonts w:cs="Arial"/>
          <w:szCs w:val="22"/>
        </w:rPr>
        <w:t>.</w:t>
      </w:r>
      <w:r w:rsidRPr="0062145F">
        <w:rPr>
          <w:rFonts w:cs="Arial"/>
          <w:szCs w:val="22"/>
        </w:rPr>
        <w:t xml:space="preserve"> Its use by industry is voluntary</w:t>
      </w:r>
      <w:r w:rsidR="001056DB">
        <w:rPr>
          <w:rFonts w:cs="Arial"/>
          <w:szCs w:val="22"/>
        </w:rPr>
        <w:t xml:space="preserve">, </w:t>
      </w:r>
      <w:r w:rsidR="00D23427">
        <w:rPr>
          <w:rFonts w:cs="Arial"/>
          <w:szCs w:val="22"/>
        </w:rPr>
        <w:t>t</w:t>
      </w:r>
      <w:r w:rsidR="00D23427" w:rsidRPr="0062145F">
        <w:rPr>
          <w:rFonts w:cs="Arial"/>
          <w:szCs w:val="22"/>
        </w:rPr>
        <w:t xml:space="preserve">herefore </w:t>
      </w:r>
      <w:r w:rsidRPr="0062145F">
        <w:rPr>
          <w:rFonts w:cs="Arial"/>
          <w:szCs w:val="22"/>
        </w:rPr>
        <w:t>it will only be used where industry believe a net benefit exists above using existing manufacturing processes</w:t>
      </w:r>
      <w:r w:rsidR="00C40CF0" w:rsidRPr="00162775" w:rsidDel="00E75156">
        <w:rPr>
          <w:szCs w:val="22"/>
        </w:rPr>
        <w:t>.</w:t>
      </w:r>
    </w:p>
    <w:p w14:paraId="7E8E2A79" w14:textId="77777777" w:rsidR="004B0AD1" w:rsidRPr="0062145F" w:rsidRDefault="004B0AD1" w:rsidP="008F2ECE">
      <w:pPr>
        <w:rPr>
          <w:szCs w:val="22"/>
        </w:rPr>
      </w:pPr>
    </w:p>
    <w:p w14:paraId="71C3BD71" w14:textId="121228DA" w:rsidR="004B0AD1" w:rsidRPr="00162775" w:rsidRDefault="004B0AD1" w:rsidP="00C40CF0">
      <w:pPr>
        <w:rPr>
          <w:szCs w:val="22"/>
        </w:rPr>
      </w:pPr>
      <w:r w:rsidRPr="0062145F">
        <w:rPr>
          <w:szCs w:val="22"/>
        </w:rPr>
        <w:t xml:space="preserve">The enzyme has already been permitted for use overseas (see above). Therefore, if permission to use the enzyme as a processing aid is not granted, </w:t>
      </w:r>
      <w:r w:rsidR="002F55D7" w:rsidRPr="00CD57AD">
        <w:rPr>
          <w:szCs w:val="22"/>
        </w:rPr>
        <w:t>Australia/New Zealand</w:t>
      </w:r>
      <w:r w:rsidR="002F55D7" w:rsidRPr="002F55D7">
        <w:rPr>
          <w:szCs w:val="22"/>
        </w:rPr>
        <w:t xml:space="preserve"> </w:t>
      </w:r>
      <w:r w:rsidR="002F55D7">
        <w:rPr>
          <w:szCs w:val="22"/>
        </w:rPr>
        <w:t xml:space="preserve">food manufacturers will be unable to access and use a product assessed as safe that is available to their overseas competitors. There is also </w:t>
      </w:r>
      <w:r w:rsidRPr="0062145F">
        <w:rPr>
          <w:szCs w:val="22"/>
        </w:rPr>
        <w:t>a potential cost to overseas food manufacturers and importers, in that they will be unable to expand the international trade of products made using this enzyme preparation, respectively, to Australia/New Zealand</w:t>
      </w:r>
      <w:r w:rsidR="002F55D7">
        <w:rPr>
          <w:szCs w:val="22"/>
        </w:rPr>
        <w:t>.</w:t>
      </w:r>
    </w:p>
    <w:p w14:paraId="3C3A8741" w14:textId="77777777" w:rsidR="004B0AD1" w:rsidRPr="0062145F" w:rsidRDefault="004B0AD1" w:rsidP="00C40CF0">
      <w:pPr>
        <w:rPr>
          <w:szCs w:val="22"/>
        </w:rPr>
      </w:pPr>
    </w:p>
    <w:p w14:paraId="6D91D7E6" w14:textId="67996F38" w:rsidR="006B1EC3" w:rsidRPr="00162775" w:rsidRDefault="00162775" w:rsidP="008F2ECE">
      <w:pPr>
        <w:rPr>
          <w:szCs w:val="22"/>
        </w:rPr>
      </w:pPr>
      <w:r w:rsidRPr="0062145F">
        <w:rPr>
          <w:szCs w:val="22"/>
        </w:rPr>
        <w:t>Approval of the draft variation</w:t>
      </w:r>
      <w:r w:rsidR="004B0AD1" w:rsidRPr="0062145F">
        <w:rPr>
          <w:szCs w:val="22"/>
        </w:rPr>
        <w:t xml:space="preserve"> may be </w:t>
      </w:r>
      <w:r w:rsidRPr="0062145F">
        <w:rPr>
          <w:szCs w:val="22"/>
        </w:rPr>
        <w:t xml:space="preserve">result in </w:t>
      </w:r>
      <w:r w:rsidR="004B0AD1" w:rsidRPr="0062145F">
        <w:rPr>
          <w:szCs w:val="22"/>
        </w:rPr>
        <w:t>a cost to government in terms of monitoring and compliance.</w:t>
      </w:r>
    </w:p>
    <w:p w14:paraId="65796A65" w14:textId="77777777" w:rsidR="002C1A3B" w:rsidRPr="00AC7D02" w:rsidRDefault="002C1A3B" w:rsidP="00886E37">
      <w:pPr>
        <w:pStyle w:val="Heading4"/>
      </w:pPr>
      <w:r w:rsidRPr="00AC7D02">
        <w:t>2.5.1.2</w:t>
      </w:r>
      <w:r w:rsidRPr="00AC7D02">
        <w:tab/>
        <w:t>Other measures</w:t>
      </w:r>
    </w:p>
    <w:p w14:paraId="7DF37FBA" w14:textId="495586BA" w:rsidR="002C1A3B" w:rsidRPr="00AC7D02" w:rsidRDefault="002C1A3B" w:rsidP="002C1A3B">
      <w:r w:rsidRPr="00AC7D02">
        <w:t xml:space="preserve">There are no other measures (whether available to FSANZ or not) that would be more cost-effective than a food regulatory measure developed or varied as a result of the </w:t>
      </w:r>
      <w:r w:rsidR="00AC7D02" w:rsidRPr="00AC7D02">
        <w:t>Application.</w:t>
      </w:r>
    </w:p>
    <w:p w14:paraId="0177F703" w14:textId="77777777" w:rsidR="002C1A3B" w:rsidRPr="00AC7D02" w:rsidRDefault="002C1A3B" w:rsidP="00886E37">
      <w:pPr>
        <w:pStyle w:val="Heading4"/>
      </w:pPr>
      <w:r w:rsidRPr="00AC7D02">
        <w:t>2.5.1.3</w:t>
      </w:r>
      <w:r w:rsidRPr="00AC7D02">
        <w:tab/>
        <w:t>Any relevant New Zealand standards</w:t>
      </w:r>
    </w:p>
    <w:p w14:paraId="7848E599" w14:textId="439E31B3" w:rsidR="001A6458" w:rsidRPr="001A6458" w:rsidRDefault="00162775" w:rsidP="001A6458">
      <w:pPr>
        <w:rPr>
          <w:lang w:bidi="ar-SA"/>
        </w:rPr>
      </w:pPr>
      <w:r w:rsidRPr="00875232">
        <w:rPr>
          <w:lang w:bidi="ar-SA"/>
        </w:rPr>
        <w:t>S</w:t>
      </w:r>
      <w:r>
        <w:rPr>
          <w:lang w:bidi="ar-SA"/>
        </w:rPr>
        <w:t>tandards 1.1.1, 1.1.2 and 1.3.3 and S</w:t>
      </w:r>
      <w:r w:rsidRPr="00875232">
        <w:rPr>
          <w:lang w:bidi="ar-SA"/>
        </w:rPr>
        <w:t xml:space="preserve">chedule 18 </w:t>
      </w:r>
      <w:r w:rsidR="001A6458" w:rsidRPr="001A6458">
        <w:rPr>
          <w:lang w:bidi="ar-SA"/>
        </w:rPr>
        <w:t>appl</w:t>
      </w:r>
      <w:r w:rsidR="00E17C21">
        <w:rPr>
          <w:lang w:bidi="ar-SA"/>
        </w:rPr>
        <w:t>y</w:t>
      </w:r>
      <w:r w:rsidR="001A6458" w:rsidRPr="001A6458">
        <w:rPr>
          <w:lang w:bidi="ar-SA"/>
        </w:rPr>
        <w:t xml:space="preserve"> in both Australia and New Zealand. There are no relevant New Zealand only standards.</w:t>
      </w:r>
    </w:p>
    <w:p w14:paraId="65ABB73E" w14:textId="194CCF87" w:rsidR="002C1A3B" w:rsidRPr="00AC7D02" w:rsidRDefault="002C1A3B" w:rsidP="00886E37">
      <w:pPr>
        <w:pStyle w:val="Heading4"/>
      </w:pPr>
      <w:r w:rsidRPr="00AC7D02">
        <w:t>2.5.1.4</w:t>
      </w:r>
      <w:r w:rsidRPr="00AC7D02">
        <w:tab/>
        <w:t>Any other relevant matters</w:t>
      </w:r>
    </w:p>
    <w:p w14:paraId="00FA47E7" w14:textId="082DA9A9" w:rsidR="001F7F63" w:rsidRDefault="001F7F63" w:rsidP="001F7F63">
      <w:pPr>
        <w:rPr>
          <w:lang w:bidi="ar-SA"/>
        </w:rPr>
      </w:pPr>
      <w:bookmarkStart w:id="102" w:name="_Toc370223479"/>
      <w:bookmarkStart w:id="103" w:name="_Toc370225394"/>
      <w:bookmarkStart w:id="104" w:name="_Toc300761897"/>
      <w:bookmarkStart w:id="105" w:name="_Toc300933440"/>
      <w:r>
        <w:t>Other relevant matters are considered below</w:t>
      </w:r>
      <w:r>
        <w:rPr>
          <w:lang w:bidi="ar-SA"/>
        </w:rPr>
        <w:t>.</w:t>
      </w:r>
      <w:r>
        <w:t xml:space="preserve"> </w:t>
      </w:r>
    </w:p>
    <w:p w14:paraId="1CA51A60" w14:textId="083AD0D6" w:rsidR="002C1A3B" w:rsidRPr="002C1A3B" w:rsidRDefault="002C1A3B" w:rsidP="002C1A3B">
      <w:pPr>
        <w:pStyle w:val="Heading3"/>
      </w:pPr>
      <w:bookmarkStart w:id="106" w:name="_Toc506902871"/>
      <w:r w:rsidRPr="002C1A3B">
        <w:t>2.5.2</w:t>
      </w:r>
      <w:r w:rsidRPr="002C1A3B">
        <w:tab/>
        <w:t>Subsection 18(1)</w:t>
      </w:r>
      <w:bookmarkEnd w:id="102"/>
      <w:bookmarkEnd w:id="103"/>
      <w:bookmarkEnd w:id="106"/>
      <w:r w:rsidRPr="002C1A3B">
        <w:t xml:space="preserve"> </w:t>
      </w:r>
      <w:bookmarkEnd w:id="104"/>
      <w:bookmarkEnd w:id="105"/>
    </w:p>
    <w:p w14:paraId="04F183DC" w14:textId="26E57081" w:rsidR="002C1A3B" w:rsidRPr="002C1A3B" w:rsidRDefault="002C1A3B" w:rsidP="002C1A3B">
      <w:r w:rsidRPr="002C1A3B">
        <w:rPr>
          <w:rFonts w:cs="Arial"/>
        </w:rPr>
        <w:t xml:space="preserve">FSANZ has also </w:t>
      </w:r>
      <w:r w:rsidR="00BD69E0">
        <w:t>had regard to</w:t>
      </w:r>
      <w:r w:rsidR="00BD69E0" w:rsidRPr="002C1A3B">
        <w:t xml:space="preserve"> </w:t>
      </w:r>
      <w:r w:rsidRPr="002C1A3B">
        <w:t>the three objectives in subsection 18(1) of the FSANZ Act during the assessment.</w:t>
      </w:r>
    </w:p>
    <w:p w14:paraId="405C49A1" w14:textId="77777777" w:rsidR="002C1A3B" w:rsidRPr="00AC7D02" w:rsidRDefault="002C1A3B" w:rsidP="00886E37">
      <w:pPr>
        <w:pStyle w:val="Heading4"/>
      </w:pPr>
      <w:bookmarkStart w:id="107" w:name="_Toc297029117"/>
      <w:bookmarkStart w:id="108" w:name="_Toc300761898"/>
      <w:bookmarkStart w:id="109" w:name="_Toc300933441"/>
      <w:r w:rsidRPr="00AC7D02">
        <w:t>2.5.2.1</w:t>
      </w:r>
      <w:r w:rsidRPr="00AC7D02">
        <w:tab/>
        <w:t>Protection of public health and safety</w:t>
      </w:r>
      <w:bookmarkEnd w:id="107"/>
      <w:bookmarkEnd w:id="108"/>
      <w:bookmarkEnd w:id="109"/>
    </w:p>
    <w:p w14:paraId="352DA35A" w14:textId="733D17F2" w:rsidR="00D7786B" w:rsidRPr="00825510" w:rsidRDefault="00D7786B" w:rsidP="00D7786B">
      <w:r w:rsidRPr="00825510">
        <w:t xml:space="preserve">FSANZ </w:t>
      </w:r>
      <w:r w:rsidR="001C47BE">
        <w:t>under</w:t>
      </w:r>
      <w:r w:rsidR="00A57004">
        <w:t>t</w:t>
      </w:r>
      <w:r w:rsidR="001C47BE">
        <w:t>ook</w:t>
      </w:r>
      <w:r w:rsidRPr="00825510">
        <w:t xml:space="preserve"> a safety assessment (SD1), summarised in section 2.2 and concluded there are no public health and safety concerns relating to permitting the enzyme</w:t>
      </w:r>
      <w:r w:rsidR="00D23427">
        <w:t>,</w:t>
      </w:r>
      <w:r w:rsidRPr="00825510">
        <w:t xml:space="preserve"> protein glutaminase sourced from </w:t>
      </w:r>
      <w:r w:rsidRPr="00825510">
        <w:rPr>
          <w:i/>
        </w:rPr>
        <w:t xml:space="preserve">C. proteolyticum </w:t>
      </w:r>
      <w:r w:rsidR="00AA7DC2" w:rsidRPr="002669A9">
        <w:t xml:space="preserve">strain </w:t>
      </w:r>
      <w:r w:rsidR="008F39FC" w:rsidRPr="002669A9">
        <w:t>AE-PG</w:t>
      </w:r>
      <w:r w:rsidR="00D23427">
        <w:t>,</w:t>
      </w:r>
      <w:r w:rsidR="008F39FC">
        <w:rPr>
          <w:i/>
        </w:rPr>
        <w:t xml:space="preserve"> </w:t>
      </w:r>
      <w:r w:rsidRPr="00825510">
        <w:t>as an enzyme processing aid</w:t>
      </w:r>
      <w:r w:rsidR="005638AC">
        <w:t xml:space="preserve"> for the purposes</w:t>
      </w:r>
      <w:r w:rsidR="00285606">
        <w:t xml:space="preserve"> stated in the draft variation</w:t>
      </w:r>
      <w:r w:rsidRPr="00825510">
        <w:t>.</w:t>
      </w:r>
    </w:p>
    <w:p w14:paraId="14EEE773" w14:textId="27FEB6EA" w:rsidR="002C1A3B" w:rsidRPr="00AC7D02" w:rsidRDefault="002C1A3B" w:rsidP="00886E37">
      <w:pPr>
        <w:pStyle w:val="Heading4"/>
      </w:pPr>
      <w:bookmarkStart w:id="110" w:name="_Toc300761899"/>
      <w:bookmarkStart w:id="111" w:name="_Toc300933442"/>
      <w:r w:rsidRPr="00AC7D02">
        <w:t>2.5.2.2</w:t>
      </w:r>
      <w:r w:rsidRPr="00AC7D02">
        <w:tab/>
        <w:t>The provision of adequate information relating to food to enable consumers to make informed choices</w:t>
      </w:r>
      <w:bookmarkEnd w:id="110"/>
      <w:bookmarkEnd w:id="111"/>
    </w:p>
    <w:p w14:paraId="3A5FD4B7" w14:textId="77777777" w:rsidR="0062145F" w:rsidRDefault="0062145F" w:rsidP="0062145F">
      <w:bookmarkStart w:id="112" w:name="_Toc300761900"/>
      <w:bookmarkStart w:id="113" w:name="_Toc300933443"/>
      <w:r w:rsidRPr="00E75920">
        <w:t xml:space="preserve">The risk assessment concluded that the use of the enzyme preparation poses no risk to public health and safety and it performs its technological purpose as a processing aid. Therefore, the generic exemption from declaration of processing aids in the statement of ingredients will apply to foods produced using this enzyme as a processing aid and no additional labelling requirements are proposed. </w:t>
      </w:r>
    </w:p>
    <w:p w14:paraId="76F720C5" w14:textId="55FF67F9" w:rsidR="00CE2C58" w:rsidRDefault="00CE2C58" w:rsidP="0062145F"/>
    <w:p w14:paraId="7A34C891" w14:textId="75E359C1" w:rsidR="00CE2C58" w:rsidRDefault="00CE2C58" w:rsidP="0062145F">
      <w:r>
        <w:lastRenderedPageBreak/>
        <w:t>See also the consideration of labelling issues</w:t>
      </w:r>
      <w:r w:rsidRPr="00825510">
        <w:t xml:space="preserve"> in</w:t>
      </w:r>
      <w:r>
        <w:t xml:space="preserve"> Table 1 and in</w:t>
      </w:r>
      <w:r w:rsidRPr="00825510">
        <w:t xml:space="preserve"> Section 2.3.3</w:t>
      </w:r>
      <w:r>
        <w:t xml:space="preserve"> above.</w:t>
      </w:r>
    </w:p>
    <w:p w14:paraId="10E1F207" w14:textId="53732080" w:rsidR="002C1A3B" w:rsidRPr="00D848F8" w:rsidRDefault="001C47BE" w:rsidP="00886E37">
      <w:pPr>
        <w:pStyle w:val="Heading4"/>
      </w:pPr>
      <w:r w:rsidRPr="00600BCA">
        <w:t>2.5.2.3 T</w:t>
      </w:r>
      <w:r w:rsidR="002C1A3B" w:rsidRPr="00600BCA">
        <w:t>he prevention of misleading or deceptive conduct</w:t>
      </w:r>
      <w:bookmarkEnd w:id="112"/>
      <w:bookmarkEnd w:id="113"/>
    </w:p>
    <w:p w14:paraId="76167E3E" w14:textId="2951ECF8" w:rsidR="0062145F" w:rsidRDefault="00D26D67" w:rsidP="00D7786B">
      <w:r>
        <w:t xml:space="preserve">This </w:t>
      </w:r>
      <w:r w:rsidR="00CE2C58">
        <w:t>issue was</w:t>
      </w:r>
      <w:r>
        <w:t xml:space="preserve"> considered in response to submitter </w:t>
      </w:r>
      <w:r w:rsidR="00CE2C58">
        <w:t xml:space="preserve">concerns and </w:t>
      </w:r>
      <w:r>
        <w:t xml:space="preserve">comments (see </w:t>
      </w:r>
      <w:r w:rsidR="00CE2C58">
        <w:t xml:space="preserve">FSANZ’s response in </w:t>
      </w:r>
      <w:r>
        <w:t>Table 1</w:t>
      </w:r>
      <w:r w:rsidR="00CE2C58">
        <w:t xml:space="preserve"> above</w:t>
      </w:r>
      <w:r>
        <w:t xml:space="preserve">). </w:t>
      </w:r>
    </w:p>
    <w:p w14:paraId="1A693ECC" w14:textId="77777777" w:rsidR="002C1A3B" w:rsidRPr="00AC7D02" w:rsidRDefault="002C1A3B" w:rsidP="00AC7D02">
      <w:pPr>
        <w:pStyle w:val="Heading3"/>
      </w:pPr>
      <w:bookmarkStart w:id="114" w:name="_Toc300761901"/>
      <w:bookmarkStart w:id="115" w:name="_Toc300933444"/>
      <w:bookmarkStart w:id="116" w:name="_Toc370223480"/>
      <w:bookmarkStart w:id="117" w:name="_Toc370225395"/>
      <w:bookmarkStart w:id="118" w:name="_Toc506902872"/>
      <w:r w:rsidRPr="00AC7D02">
        <w:t>2.5.3</w:t>
      </w:r>
      <w:r w:rsidRPr="00AC7D02">
        <w:tab/>
        <w:t xml:space="preserve">Subsection 18(2) </w:t>
      </w:r>
      <w:bookmarkEnd w:id="114"/>
      <w:bookmarkEnd w:id="115"/>
      <w:r w:rsidRPr="00AC7D02">
        <w:t>considerations</w:t>
      </w:r>
      <w:bookmarkEnd w:id="116"/>
      <w:bookmarkEnd w:id="117"/>
      <w:bookmarkEnd w:id="118"/>
    </w:p>
    <w:p w14:paraId="529AEA4E" w14:textId="77777777" w:rsidR="002C1A3B" w:rsidRPr="00825510" w:rsidRDefault="002C1A3B" w:rsidP="002C1A3B">
      <w:pPr>
        <w:rPr>
          <w:rFonts w:cs="Arial"/>
        </w:rPr>
      </w:pPr>
      <w:r w:rsidRPr="00825510">
        <w:rPr>
          <w:rFonts w:cs="Arial"/>
        </w:rPr>
        <w:t>FSANZ has also had regard to:</w:t>
      </w:r>
    </w:p>
    <w:p w14:paraId="1C1B9625" w14:textId="77777777" w:rsidR="002C1A3B" w:rsidRPr="00825510" w:rsidRDefault="002C1A3B" w:rsidP="002C1A3B">
      <w:pPr>
        <w:rPr>
          <w:rFonts w:cs="Arial"/>
        </w:rPr>
      </w:pPr>
    </w:p>
    <w:p w14:paraId="695BBAD1" w14:textId="77777777" w:rsidR="002C1A3B" w:rsidRPr="00825510" w:rsidRDefault="002C1A3B" w:rsidP="002C1A3B">
      <w:pPr>
        <w:pStyle w:val="FSBullet1"/>
        <w:rPr>
          <w:b/>
        </w:rPr>
      </w:pPr>
      <w:r w:rsidRPr="00825510">
        <w:rPr>
          <w:b/>
        </w:rPr>
        <w:t>the need for standards to be based on risk analysis using the best available scientific evidence</w:t>
      </w:r>
    </w:p>
    <w:p w14:paraId="7F1AD8A9" w14:textId="77777777" w:rsidR="002C1A3B" w:rsidRPr="00825510" w:rsidRDefault="002C1A3B" w:rsidP="002C1A3B">
      <w:pPr>
        <w:rPr>
          <w:lang w:bidi="ar-SA"/>
        </w:rPr>
      </w:pPr>
    </w:p>
    <w:p w14:paraId="6A849153" w14:textId="2D0B4845" w:rsidR="00D7786B" w:rsidRPr="00825510" w:rsidRDefault="00D7786B" w:rsidP="00D7786B">
      <w:r w:rsidRPr="00825510">
        <w:t xml:space="preserve">FSANZ has used the best available scientific evidence to conduct the risk analysis, which is provided in SD1. The Applicant submitted a dossier of scientific studies as part of </w:t>
      </w:r>
      <w:r w:rsidR="00D23427">
        <w:t>its</w:t>
      </w:r>
      <w:r w:rsidR="00D23427" w:rsidRPr="00825510">
        <w:t xml:space="preserve"> </w:t>
      </w:r>
      <w:r w:rsidRPr="00825510">
        <w:t>Application. Other technical information, including scientific literature, was also used to assess the Application.</w:t>
      </w:r>
    </w:p>
    <w:p w14:paraId="6DE7BE96" w14:textId="77777777" w:rsidR="002C1A3B" w:rsidRPr="00825510" w:rsidRDefault="002C1A3B" w:rsidP="002C1A3B">
      <w:pPr>
        <w:rPr>
          <w:lang w:bidi="ar-SA"/>
        </w:rPr>
      </w:pPr>
    </w:p>
    <w:p w14:paraId="6E876917" w14:textId="77777777" w:rsidR="002C1A3B" w:rsidRPr="00825510" w:rsidRDefault="002C1A3B" w:rsidP="002C1A3B">
      <w:pPr>
        <w:pStyle w:val="FSBullet1"/>
        <w:rPr>
          <w:b/>
        </w:rPr>
      </w:pPr>
      <w:r w:rsidRPr="00825510">
        <w:rPr>
          <w:b/>
        </w:rPr>
        <w:t>the promotion of consistency between domestic and international food standards</w:t>
      </w:r>
    </w:p>
    <w:p w14:paraId="5BD78712" w14:textId="77777777" w:rsidR="002C1A3B" w:rsidRPr="00825510" w:rsidRDefault="002C1A3B" w:rsidP="002C1A3B">
      <w:pPr>
        <w:rPr>
          <w:lang w:bidi="ar-SA"/>
        </w:rPr>
      </w:pPr>
    </w:p>
    <w:p w14:paraId="4224E6E0" w14:textId="584C8D89" w:rsidR="00D7786B" w:rsidRPr="00825510" w:rsidRDefault="00D7786B" w:rsidP="00D7786B">
      <w:r w:rsidRPr="00825510">
        <w:t>There are no Codex Alimentarius Standards for enzymes. However, this enzyme is permitted for use in France and the USA. It also meets international specifications for enzyme preparations, being the JECFA Compendium of Food Additive Specifications and the Food Chemicals Codex.</w:t>
      </w:r>
    </w:p>
    <w:p w14:paraId="372FFF14" w14:textId="77777777" w:rsidR="002C1A3B" w:rsidRPr="00825510" w:rsidRDefault="002C1A3B" w:rsidP="002C1A3B">
      <w:pPr>
        <w:rPr>
          <w:lang w:bidi="ar-SA"/>
        </w:rPr>
      </w:pPr>
    </w:p>
    <w:p w14:paraId="475966D3" w14:textId="77777777" w:rsidR="002C1A3B" w:rsidRPr="00825510" w:rsidRDefault="002C1A3B" w:rsidP="002C1A3B">
      <w:pPr>
        <w:pStyle w:val="FSBullet1"/>
        <w:rPr>
          <w:b/>
        </w:rPr>
      </w:pPr>
      <w:r w:rsidRPr="00825510">
        <w:rPr>
          <w:b/>
        </w:rPr>
        <w:t>the desirability of an efficient and internationally competitive food industry</w:t>
      </w:r>
    </w:p>
    <w:p w14:paraId="4BCA8E35" w14:textId="77777777" w:rsidR="002C1A3B" w:rsidRPr="00825510" w:rsidRDefault="002C1A3B" w:rsidP="002C1A3B">
      <w:pPr>
        <w:rPr>
          <w:lang w:bidi="ar-SA"/>
        </w:rPr>
      </w:pPr>
    </w:p>
    <w:p w14:paraId="49E77B8E" w14:textId="31BA1F1A" w:rsidR="00D7786B" w:rsidRPr="00825510" w:rsidRDefault="00162775" w:rsidP="00D7786B">
      <w:r>
        <w:t>Granting</w:t>
      </w:r>
      <w:r w:rsidRPr="001E62E1">
        <w:t xml:space="preserve"> permission for this enzyme prov</w:t>
      </w:r>
      <w:r>
        <w:t xml:space="preserve">ides food manufacturers with an </w:t>
      </w:r>
      <w:r w:rsidRPr="001E62E1">
        <w:t>improvement in functionality when processing proteinaceous foods</w:t>
      </w:r>
      <w:r>
        <w:t>.</w:t>
      </w:r>
    </w:p>
    <w:p w14:paraId="0979C68C" w14:textId="77777777" w:rsidR="002C1A3B" w:rsidRPr="00825510" w:rsidRDefault="002C1A3B" w:rsidP="002C1A3B">
      <w:pPr>
        <w:rPr>
          <w:lang w:bidi="ar-SA"/>
        </w:rPr>
      </w:pPr>
    </w:p>
    <w:p w14:paraId="1FC290F3" w14:textId="77777777" w:rsidR="002C1A3B" w:rsidRPr="00825510" w:rsidRDefault="002C1A3B" w:rsidP="002C1A3B">
      <w:pPr>
        <w:pStyle w:val="FSBullet1"/>
        <w:rPr>
          <w:b/>
        </w:rPr>
      </w:pPr>
      <w:r w:rsidRPr="00825510">
        <w:rPr>
          <w:b/>
        </w:rPr>
        <w:t>the promotion of fair trading in food</w:t>
      </w:r>
    </w:p>
    <w:p w14:paraId="063F7493" w14:textId="77777777" w:rsidR="002C1A3B" w:rsidRPr="00825510" w:rsidRDefault="002C1A3B" w:rsidP="002C1A3B">
      <w:pPr>
        <w:rPr>
          <w:lang w:bidi="ar-SA"/>
        </w:rPr>
      </w:pPr>
    </w:p>
    <w:p w14:paraId="148D587C" w14:textId="77777777" w:rsidR="00D05D80" w:rsidRPr="00825510" w:rsidRDefault="00D05D80" w:rsidP="00D05D80">
      <w:r w:rsidRPr="00825510">
        <w:t>FSANZ did not identify any relevant issues relating to this consideration.</w:t>
      </w:r>
    </w:p>
    <w:p w14:paraId="6CAFDA75" w14:textId="77777777" w:rsidR="002C1A3B" w:rsidRPr="00825510" w:rsidRDefault="002C1A3B" w:rsidP="002C1A3B">
      <w:pPr>
        <w:rPr>
          <w:lang w:bidi="ar-SA"/>
        </w:rPr>
      </w:pPr>
    </w:p>
    <w:p w14:paraId="315CAAD3" w14:textId="77777777" w:rsidR="002C1A3B" w:rsidRPr="00825510" w:rsidRDefault="002C1A3B" w:rsidP="002C1A3B">
      <w:pPr>
        <w:pStyle w:val="FSBullet1"/>
        <w:rPr>
          <w:b/>
        </w:rPr>
      </w:pPr>
      <w:r w:rsidRPr="00825510">
        <w:rPr>
          <w:b/>
        </w:rPr>
        <w:t xml:space="preserve">any written policy guidelines formulated by the </w:t>
      </w:r>
      <w:r w:rsidR="00EA2226" w:rsidRPr="00825510">
        <w:rPr>
          <w:b/>
        </w:rPr>
        <w:t>Forum on Food Regulation</w:t>
      </w:r>
    </w:p>
    <w:p w14:paraId="4B121EEB" w14:textId="77777777" w:rsidR="002C1A3B" w:rsidRPr="00825510" w:rsidRDefault="002C1A3B" w:rsidP="002C1A3B">
      <w:pPr>
        <w:rPr>
          <w:lang w:bidi="ar-SA"/>
        </w:rPr>
      </w:pPr>
    </w:p>
    <w:p w14:paraId="48BE4B54" w14:textId="6FA558C2" w:rsidR="00D05D80" w:rsidRPr="00D05D80" w:rsidRDefault="00EE47A1" w:rsidP="00D05D80">
      <w:r>
        <w:rPr>
          <w:szCs w:val="22"/>
        </w:rPr>
        <w:t>FSANZ had regard to t</w:t>
      </w:r>
      <w:r w:rsidRPr="00D05D80">
        <w:rPr>
          <w:szCs w:val="22"/>
        </w:rPr>
        <w:t xml:space="preserve">he </w:t>
      </w:r>
      <w:hyperlink r:id="rId19" w:history="1">
        <w:r w:rsidR="00D05D80" w:rsidRPr="00135138">
          <w:rPr>
            <w:rStyle w:val="Hyperlink"/>
            <w:szCs w:val="22"/>
          </w:rPr>
          <w:t>Policy Guideline for the Addition to Food of Substances other than Vitamins and Minerals</w:t>
        </w:r>
        <w:r>
          <w:rPr>
            <w:rStyle w:val="Hyperlink"/>
            <w:szCs w:val="22"/>
          </w:rPr>
          <w:t>,</w:t>
        </w:r>
        <w:r w:rsidR="00D05D80" w:rsidRPr="00135138">
          <w:rPr>
            <w:rStyle w:val="Hyperlink"/>
            <w:vertAlign w:val="superscript"/>
          </w:rPr>
          <w:footnoteReference w:id="5"/>
        </w:r>
      </w:hyperlink>
      <w:r w:rsidR="00D05D80" w:rsidRPr="00D05D80">
        <w:rPr>
          <w:szCs w:val="22"/>
        </w:rPr>
        <w:t xml:space="preserve"> </w:t>
      </w:r>
      <w:r>
        <w:rPr>
          <w:szCs w:val="22"/>
        </w:rPr>
        <w:t xml:space="preserve">which </w:t>
      </w:r>
      <w:r w:rsidR="00D05D80" w:rsidRPr="00D05D80">
        <w:t xml:space="preserve">includes specific order policy principles for substances added to achieve a solely technological function, such as </w:t>
      </w:r>
      <w:r w:rsidR="00D058DE">
        <w:t>processing aids</w:t>
      </w:r>
      <w:r w:rsidR="00D05D80" w:rsidRPr="00D05D80">
        <w:t>. These specific order policy principles state that permission should be granted where:</w:t>
      </w:r>
    </w:p>
    <w:p w14:paraId="475CA6E3" w14:textId="77777777" w:rsidR="00D05D80" w:rsidRPr="00D05D80" w:rsidRDefault="00D05D80" w:rsidP="00D05D80"/>
    <w:p w14:paraId="487B3658" w14:textId="77777777" w:rsidR="00D05D80" w:rsidRPr="00D05D80" w:rsidRDefault="00D05D80" w:rsidP="00D05D80">
      <w:pPr>
        <w:widowControl/>
        <w:numPr>
          <w:ilvl w:val="0"/>
          <w:numId w:val="45"/>
        </w:numPr>
        <w:ind w:left="567" w:hanging="567"/>
        <w:rPr>
          <w:rFonts w:cs="Arial"/>
          <w:lang w:bidi="ar-SA"/>
        </w:rPr>
      </w:pPr>
      <w:r w:rsidRPr="00D05D80">
        <w:rPr>
          <w:rFonts w:cs="Arial"/>
          <w:lang w:bidi="ar-SA"/>
        </w:rPr>
        <w:t>the purpose for adding the substance can be articulated clearly by the manufacturer as achieving a solely technological function (i.e. the ‘stated purpose’)</w:t>
      </w:r>
    </w:p>
    <w:p w14:paraId="39E0ACAE" w14:textId="77777777" w:rsidR="00D05D80" w:rsidRPr="00D05D80" w:rsidRDefault="00D05D80" w:rsidP="00D05D80">
      <w:pPr>
        <w:widowControl/>
        <w:numPr>
          <w:ilvl w:val="0"/>
          <w:numId w:val="45"/>
        </w:numPr>
        <w:ind w:left="567" w:hanging="567"/>
        <w:rPr>
          <w:rFonts w:cs="Arial"/>
          <w:lang w:bidi="ar-SA"/>
        </w:rPr>
      </w:pPr>
      <w:r w:rsidRPr="00D05D80">
        <w:rPr>
          <w:rFonts w:cs="Arial"/>
          <w:lang w:bidi="ar-SA"/>
        </w:rPr>
        <w:t>the addition of the substance to food is safe for human consumption</w:t>
      </w:r>
    </w:p>
    <w:p w14:paraId="7B4D5976" w14:textId="77777777" w:rsidR="00D05D80" w:rsidRPr="00D05D80" w:rsidRDefault="00D05D80" w:rsidP="00D05D80">
      <w:pPr>
        <w:widowControl/>
        <w:numPr>
          <w:ilvl w:val="0"/>
          <w:numId w:val="45"/>
        </w:numPr>
        <w:ind w:left="567" w:hanging="567"/>
        <w:rPr>
          <w:rFonts w:cs="Arial"/>
          <w:lang w:bidi="ar-SA"/>
        </w:rPr>
      </w:pPr>
      <w:r w:rsidRPr="00D05D80">
        <w:rPr>
          <w:rFonts w:cs="Arial"/>
          <w:lang w:bidi="ar-SA"/>
        </w:rPr>
        <w:t>the amounts added are consistent with achieving the technological function</w:t>
      </w:r>
    </w:p>
    <w:p w14:paraId="616E044B" w14:textId="77777777" w:rsidR="00D05D80" w:rsidRPr="00D05D80" w:rsidRDefault="00D05D80" w:rsidP="00D05D80">
      <w:pPr>
        <w:widowControl/>
        <w:numPr>
          <w:ilvl w:val="0"/>
          <w:numId w:val="45"/>
        </w:numPr>
        <w:ind w:left="567" w:hanging="567"/>
        <w:rPr>
          <w:rFonts w:cs="Arial"/>
          <w:lang w:bidi="ar-SA"/>
        </w:rPr>
      </w:pPr>
      <w:r w:rsidRPr="00D05D80">
        <w:rPr>
          <w:rFonts w:cs="Arial"/>
          <w:lang w:bidi="ar-SA"/>
        </w:rPr>
        <w:t>the substance is added in a quantity and a form which is consistent with delivering the stated purpose</w:t>
      </w:r>
    </w:p>
    <w:p w14:paraId="54A797F9" w14:textId="77777777" w:rsidR="00D05D80" w:rsidRPr="00D05D80" w:rsidRDefault="00D05D80" w:rsidP="00D05D80">
      <w:pPr>
        <w:widowControl/>
        <w:numPr>
          <w:ilvl w:val="0"/>
          <w:numId w:val="45"/>
        </w:numPr>
        <w:ind w:left="567" w:hanging="567"/>
        <w:rPr>
          <w:rFonts w:cs="Arial"/>
          <w:lang w:bidi="ar-SA"/>
        </w:rPr>
      </w:pPr>
      <w:r w:rsidRPr="00D05D80">
        <w:rPr>
          <w:rFonts w:cs="Arial"/>
          <w:lang w:bidi="ar-SA"/>
        </w:rPr>
        <w:t>no nutrition, health or related claims are to be made in regard to the substance.</w:t>
      </w:r>
    </w:p>
    <w:p w14:paraId="1B719803" w14:textId="598D7658" w:rsidR="001122EC" w:rsidRPr="00825510" w:rsidRDefault="006236C2" w:rsidP="001122EC">
      <w:pPr>
        <w:pStyle w:val="Heading1"/>
      </w:pPr>
      <w:bookmarkStart w:id="119" w:name="_Toc506902873"/>
      <w:bookmarkStart w:id="120" w:name="_Toc11735643"/>
      <w:bookmarkStart w:id="121" w:name="_Toc29883130"/>
      <w:bookmarkStart w:id="122" w:name="_Toc41906817"/>
      <w:bookmarkStart w:id="123" w:name="_Toc41907564"/>
      <w:bookmarkStart w:id="124" w:name="_Toc43112360"/>
      <w:bookmarkEnd w:id="98"/>
      <w:r w:rsidRPr="00825510">
        <w:lastRenderedPageBreak/>
        <w:t>3</w:t>
      </w:r>
      <w:r w:rsidR="001122EC" w:rsidRPr="00825510">
        <w:tab/>
        <w:t>R</w:t>
      </w:r>
      <w:r w:rsidR="000B427A" w:rsidRPr="00825510">
        <w:t>eferences</w:t>
      </w:r>
      <w:bookmarkEnd w:id="119"/>
    </w:p>
    <w:p w14:paraId="350DC531" w14:textId="157BCBEB" w:rsidR="00A02BE5" w:rsidRPr="00B70593" w:rsidRDefault="00A02BE5" w:rsidP="00A02BE5">
      <w:pPr>
        <w:rPr>
          <w:szCs w:val="22"/>
          <w:lang w:val="en-AU"/>
        </w:rPr>
      </w:pPr>
      <w:r w:rsidRPr="00B70593">
        <w:rPr>
          <w:szCs w:val="22"/>
          <w:lang w:val="en-AU"/>
        </w:rPr>
        <w:t>Cabrera-Chávez F, Rouzaud-Sández O, Sotelo-Cruz N, Calderón de la Barca AM (2008) Transglutaminase treatment of wheat and maize prolamins of bread increases the serum IgA reactivity of celiac disease patients</w:t>
      </w:r>
      <w:r w:rsidR="00DD764F" w:rsidRPr="00B70593">
        <w:rPr>
          <w:szCs w:val="22"/>
          <w:lang w:val="en-AU"/>
        </w:rPr>
        <w:t xml:space="preserve">. </w:t>
      </w:r>
      <w:r w:rsidRPr="00B70593">
        <w:rPr>
          <w:szCs w:val="22"/>
          <w:lang w:val="en-AU"/>
        </w:rPr>
        <w:t xml:space="preserve">Journal of Agricultural and Food Chemistry 56(4):1387-91. </w:t>
      </w:r>
    </w:p>
    <w:p w14:paraId="6C52B1C7" w14:textId="77777777" w:rsidR="00A02BE5" w:rsidRPr="00B70593" w:rsidRDefault="00A02BE5" w:rsidP="00A02BE5">
      <w:pPr>
        <w:rPr>
          <w:szCs w:val="22"/>
          <w:lang w:val="en-AU"/>
        </w:rPr>
      </w:pPr>
    </w:p>
    <w:p w14:paraId="3B7B1C59" w14:textId="77777777" w:rsidR="00A02BE5" w:rsidRPr="00B70593" w:rsidRDefault="00A02BE5" w:rsidP="00A02BE5">
      <w:pPr>
        <w:rPr>
          <w:szCs w:val="22"/>
          <w:lang w:val="en-AU"/>
        </w:rPr>
      </w:pPr>
      <w:r w:rsidRPr="00B70593">
        <w:rPr>
          <w:szCs w:val="22"/>
          <w:lang w:val="en-AU"/>
        </w:rPr>
        <w:t xml:space="preserve">Cabrera-Chávez F, Rouzaud-Sández O, Sotelo-Cruz N, Calderón de la Barca AM (2009) Bovine milk caseins and transglutaminase-treated cereal prolamins are differentially recognized by IgA of celiac disease patients according to their age. Journal of Agricultural and Food Chemistry 57(9):3754-9. </w:t>
      </w:r>
    </w:p>
    <w:p w14:paraId="1632703D" w14:textId="77777777" w:rsidR="00887F5E" w:rsidRDefault="00887F5E" w:rsidP="00887F5E">
      <w:pPr>
        <w:widowControl/>
        <w:rPr>
          <w:lang w:val="en-AU" w:eastAsia="en-AU"/>
        </w:rPr>
      </w:pPr>
    </w:p>
    <w:p w14:paraId="38C191D4" w14:textId="13CC0D99" w:rsidR="00887F5E" w:rsidRPr="00B70593" w:rsidRDefault="00887F5E" w:rsidP="00887F5E">
      <w:pPr>
        <w:widowControl/>
        <w:rPr>
          <w:rFonts w:eastAsia="Calibri" w:cs="Arial"/>
          <w:szCs w:val="22"/>
          <w:lang w:val="en-AU" w:bidi="ar-SA"/>
        </w:rPr>
      </w:pPr>
      <w:r w:rsidRPr="0039383C">
        <w:rPr>
          <w:lang w:val="en-AU" w:eastAsia="en-AU"/>
        </w:rPr>
        <w:t>De</w:t>
      </w:r>
      <w:r>
        <w:rPr>
          <w:lang w:val="en-AU" w:eastAsia="en-AU"/>
        </w:rPr>
        <w:t>kking EHA, Van Veelen PA,</w:t>
      </w:r>
      <w:r w:rsidRPr="0039383C">
        <w:rPr>
          <w:lang w:val="en-AU" w:eastAsia="en-AU"/>
        </w:rPr>
        <w:t xml:space="preserve"> de</w:t>
      </w:r>
      <w:r>
        <w:rPr>
          <w:lang w:val="en-AU" w:eastAsia="en-AU"/>
        </w:rPr>
        <w:t xml:space="preserve"> Ru A, Kooy-Winkelaar EMC,</w:t>
      </w:r>
      <w:r w:rsidRPr="0039383C">
        <w:rPr>
          <w:lang w:val="en-AU" w:eastAsia="en-AU"/>
        </w:rPr>
        <w:t xml:space="preserve"> Grö</w:t>
      </w:r>
      <w:r>
        <w:rPr>
          <w:lang w:val="en-AU" w:eastAsia="en-AU"/>
        </w:rPr>
        <w:t>neveld, T, Nieuwenhuizen WF,</w:t>
      </w:r>
      <w:r w:rsidRPr="0039383C">
        <w:rPr>
          <w:lang w:val="en-AU" w:eastAsia="en-AU"/>
        </w:rPr>
        <w:t xml:space="preserve"> Koning, F</w:t>
      </w:r>
      <w:r>
        <w:rPr>
          <w:lang w:val="en-AU" w:eastAsia="en-AU"/>
        </w:rPr>
        <w:t xml:space="preserve"> (2008) </w:t>
      </w:r>
      <w:r w:rsidRPr="0039383C">
        <w:rPr>
          <w:lang w:val="en-AU" w:eastAsia="en-AU"/>
        </w:rPr>
        <w:t>Microbial transglutaminases generate T cell stimulatory epitopes involved in celiac disease</w:t>
      </w:r>
      <w:r>
        <w:rPr>
          <w:lang w:val="en-AU" w:eastAsia="en-AU"/>
        </w:rPr>
        <w:t xml:space="preserve">. Journal of Cereal Science </w:t>
      </w:r>
      <w:r w:rsidRPr="0039383C">
        <w:rPr>
          <w:lang w:val="en-AU" w:eastAsia="en-AU"/>
        </w:rPr>
        <w:t>47(2):339-346</w:t>
      </w:r>
      <w:r>
        <w:rPr>
          <w:lang w:val="en-AU" w:eastAsia="en-AU"/>
        </w:rPr>
        <w:t>.</w:t>
      </w:r>
    </w:p>
    <w:p w14:paraId="2519FC31" w14:textId="77777777" w:rsidR="00A02BE5" w:rsidRPr="00B70593" w:rsidRDefault="00A02BE5" w:rsidP="00D05D80">
      <w:pPr>
        <w:tabs>
          <w:tab w:val="left" w:pos="0"/>
        </w:tabs>
        <w:rPr>
          <w:rFonts w:cs="Arial"/>
          <w:noProof/>
          <w:szCs w:val="22"/>
        </w:rPr>
      </w:pPr>
    </w:p>
    <w:p w14:paraId="1879933B" w14:textId="71B6FE48" w:rsidR="00D05D80" w:rsidRPr="00B70593" w:rsidRDefault="0085574E" w:rsidP="00D05D80">
      <w:pPr>
        <w:tabs>
          <w:tab w:val="left" w:pos="0"/>
        </w:tabs>
        <w:rPr>
          <w:rFonts w:cs="Arial"/>
          <w:noProof/>
          <w:szCs w:val="22"/>
        </w:rPr>
      </w:pPr>
      <w:hyperlink r:id="rId20" w:history="1">
        <w:r w:rsidR="00523C47" w:rsidRPr="00B70593">
          <w:rPr>
            <w:rStyle w:val="Hyperlink"/>
            <w:rFonts w:cs="Arial"/>
            <w:noProof/>
            <w:szCs w:val="22"/>
          </w:rPr>
          <w:t>Food Chemicals Codex 9</w:t>
        </w:r>
        <w:r w:rsidR="00523C47" w:rsidRPr="00B70593">
          <w:rPr>
            <w:rStyle w:val="Hyperlink"/>
            <w:rFonts w:cs="Arial"/>
            <w:noProof/>
            <w:szCs w:val="22"/>
            <w:vertAlign w:val="superscript"/>
          </w:rPr>
          <w:t>th</w:t>
        </w:r>
        <w:r w:rsidR="00523C47" w:rsidRPr="00B70593">
          <w:rPr>
            <w:rStyle w:val="Hyperlink"/>
            <w:rFonts w:cs="Arial"/>
            <w:noProof/>
            <w:szCs w:val="22"/>
          </w:rPr>
          <w:t xml:space="preserve"> Edition (2014</w:t>
        </w:r>
      </w:hyperlink>
      <w:r w:rsidR="00523C47" w:rsidRPr="00B70593">
        <w:rPr>
          <w:rFonts w:cs="Arial"/>
          <w:noProof/>
          <w:szCs w:val="22"/>
        </w:rPr>
        <w:t>), The United States Pharmacopeia, United States Pharmacopeial Convention, Rockville, MD.</w:t>
      </w:r>
    </w:p>
    <w:p w14:paraId="5DFDBD46" w14:textId="77777777" w:rsidR="00A02BE5" w:rsidRPr="00B70593" w:rsidRDefault="00A02BE5" w:rsidP="00A02BE5">
      <w:pPr>
        <w:rPr>
          <w:szCs w:val="22"/>
          <w:lang w:val="en-AU"/>
        </w:rPr>
      </w:pPr>
    </w:p>
    <w:p w14:paraId="57217682" w14:textId="4D298A08" w:rsidR="00A02BE5" w:rsidRDefault="00A02BE5" w:rsidP="00A02BE5">
      <w:pPr>
        <w:rPr>
          <w:szCs w:val="22"/>
          <w:lang w:val="en-AU"/>
        </w:rPr>
      </w:pPr>
      <w:r w:rsidRPr="00B70593">
        <w:rPr>
          <w:szCs w:val="22"/>
          <w:lang w:val="en-AU"/>
        </w:rPr>
        <w:t xml:space="preserve">Gerrard JA, Sutton KH (2005) Addition of Tranglutaminase to Cereal Products May Generate the Epitope Responsible for Coeliac Disease. Trends in Food Science &amp; Technology 16:510-512. </w:t>
      </w:r>
    </w:p>
    <w:p w14:paraId="4DA1212F" w14:textId="77777777" w:rsidR="00887F5E" w:rsidRPr="00B70593" w:rsidRDefault="00887F5E" w:rsidP="00A02BE5">
      <w:pPr>
        <w:rPr>
          <w:szCs w:val="22"/>
          <w:lang w:val="en-AU"/>
        </w:rPr>
      </w:pPr>
    </w:p>
    <w:p w14:paraId="21C30F80" w14:textId="77777777" w:rsidR="00887F5E" w:rsidRPr="008E1C4D" w:rsidRDefault="00887F5E" w:rsidP="00887F5E">
      <w:pPr>
        <w:rPr>
          <w:lang w:val="en-AU"/>
        </w:rPr>
      </w:pPr>
      <w:r>
        <w:rPr>
          <w:lang w:val="en-AU"/>
        </w:rPr>
        <w:t>Gianfrani C</w:t>
      </w:r>
      <w:r w:rsidRPr="00611C13">
        <w:rPr>
          <w:lang w:val="en-AU"/>
        </w:rPr>
        <w:t>, Siciliano RA, Facchiano AM, Camarca A, Mazzeo MF, Costantini S, Salvati VM, Maurano F, Mazzarella G,</w:t>
      </w:r>
      <w:r>
        <w:rPr>
          <w:lang w:val="en-AU"/>
        </w:rPr>
        <w:t xml:space="preserve"> Iaquinto G, Bergamo P, Rossi M (2007) </w:t>
      </w:r>
      <w:r w:rsidRPr="00611C13">
        <w:rPr>
          <w:lang w:val="en-AU"/>
        </w:rPr>
        <w:t>Transamidation of wheat flour inhibits the response to gliadin of intestinal T cells in celiac disease.</w:t>
      </w:r>
      <w:r>
        <w:rPr>
          <w:lang w:val="en-AU"/>
        </w:rPr>
        <w:t xml:space="preserve"> Gastroenterology </w:t>
      </w:r>
      <w:r w:rsidRPr="00611C13">
        <w:rPr>
          <w:lang w:val="en-AU"/>
        </w:rPr>
        <w:t>133(3):780-9.</w:t>
      </w:r>
      <w:r>
        <w:rPr>
          <w:lang w:val="en-AU"/>
        </w:rPr>
        <w:t xml:space="preserve"> </w:t>
      </w:r>
    </w:p>
    <w:p w14:paraId="17BE2F5D" w14:textId="5EC57353" w:rsidR="00A02BE5" w:rsidRDefault="00A02BE5" w:rsidP="00A02BE5">
      <w:pPr>
        <w:jc w:val="both"/>
        <w:rPr>
          <w:szCs w:val="22"/>
          <w:lang w:val="en-AU"/>
        </w:rPr>
      </w:pPr>
    </w:p>
    <w:p w14:paraId="7C1C440E" w14:textId="570ACB46" w:rsidR="00354E1A" w:rsidRPr="00354E1A" w:rsidRDefault="00354E1A" w:rsidP="00354E1A">
      <w:pPr>
        <w:rPr>
          <w:rFonts w:eastAsia="Calibri" w:cs="Arial"/>
          <w:szCs w:val="22"/>
          <w:lang w:bidi="ar-SA"/>
        </w:rPr>
      </w:pPr>
      <w:r w:rsidRPr="00354E1A">
        <w:rPr>
          <w:rFonts w:eastAsia="Calibri" w:cs="Arial"/>
          <w:szCs w:val="22"/>
          <w:lang w:bidi="ar-SA"/>
        </w:rPr>
        <w:t xml:space="preserve">Hashizume et al </w:t>
      </w:r>
      <w:r>
        <w:rPr>
          <w:rFonts w:eastAsia="Calibri" w:cs="Arial"/>
          <w:szCs w:val="22"/>
          <w:lang w:bidi="ar-SA"/>
        </w:rPr>
        <w:t>(</w:t>
      </w:r>
      <w:r w:rsidRPr="00354E1A">
        <w:rPr>
          <w:rFonts w:eastAsia="Calibri" w:cs="Arial"/>
          <w:szCs w:val="22"/>
          <w:lang w:bidi="ar-SA"/>
        </w:rPr>
        <w:t>2011</w:t>
      </w:r>
      <w:r>
        <w:rPr>
          <w:rFonts w:eastAsia="Calibri" w:cs="Arial"/>
          <w:szCs w:val="22"/>
          <w:lang w:bidi="ar-SA"/>
        </w:rPr>
        <w:t>)</w:t>
      </w:r>
      <w:r w:rsidRPr="00354E1A">
        <w:rPr>
          <w:rFonts w:eastAsia="Calibri" w:cs="Arial"/>
          <w:szCs w:val="22"/>
          <w:lang w:bidi="ar-SA"/>
        </w:rPr>
        <w:t xml:space="preserve"> - </w:t>
      </w:r>
      <w:hyperlink r:id="rId21" w:history="1">
        <w:r>
          <w:rPr>
            <w:rFonts w:eastAsia="Calibri" w:cs="Arial"/>
            <w:color w:val="0000FF"/>
            <w:szCs w:val="22"/>
            <w:u w:val="single"/>
            <w:lang w:bidi="ar-SA"/>
          </w:rPr>
          <w:t>Crystal Structures of Protein Glutaminase and Its Pro Forms Converted into Enzyme-Substrate Complex</w:t>
        </w:r>
      </w:hyperlink>
      <w:r>
        <w:rPr>
          <w:rFonts w:eastAsia="Calibri" w:cs="Arial"/>
          <w:szCs w:val="22"/>
          <w:lang w:bidi="ar-SA"/>
        </w:rPr>
        <w:t>. Accessed 19 Feb 2018.</w:t>
      </w:r>
    </w:p>
    <w:p w14:paraId="57E62B5D" w14:textId="77777777" w:rsidR="00354E1A" w:rsidRPr="00B70593" w:rsidRDefault="00354E1A" w:rsidP="00A02BE5">
      <w:pPr>
        <w:jc w:val="both"/>
        <w:rPr>
          <w:szCs w:val="22"/>
          <w:lang w:val="en-AU"/>
        </w:rPr>
      </w:pPr>
    </w:p>
    <w:p w14:paraId="54200896" w14:textId="5F609843" w:rsidR="00A02BE5" w:rsidRPr="00B70593" w:rsidRDefault="00A02BE5" w:rsidP="00A02BE5">
      <w:pPr>
        <w:jc w:val="both"/>
        <w:rPr>
          <w:szCs w:val="22"/>
          <w:lang w:val="en-AU"/>
        </w:rPr>
      </w:pPr>
      <w:r w:rsidRPr="00B70593">
        <w:rPr>
          <w:szCs w:val="22"/>
          <w:lang w:val="en-AU"/>
        </w:rPr>
        <w:t>Heil A, Ohsam J, van Genugten B, Diez O, Yokoyama K, Kumazawa Y, Pasternack R, Hils M (2017) Microbial Transglutaminase Used in Bread Preparation at Standard Bakery Concentrations Does Not Increase Immunodetectable Amounts of Deamidated Gliadin. Journal of Agricultural and Food Chemistry 65(32):6982-6990.</w:t>
      </w:r>
    </w:p>
    <w:p w14:paraId="49A2B304" w14:textId="77777777" w:rsidR="00D05D80" w:rsidRPr="00B70593" w:rsidRDefault="00D05D80" w:rsidP="00D05D80">
      <w:pPr>
        <w:tabs>
          <w:tab w:val="left" w:pos="0"/>
        </w:tabs>
        <w:rPr>
          <w:rFonts w:cs="Arial"/>
          <w:noProof/>
          <w:szCs w:val="22"/>
        </w:rPr>
      </w:pPr>
    </w:p>
    <w:p w14:paraId="670FE4D6" w14:textId="249AB303" w:rsidR="00523C47" w:rsidRPr="00B70593" w:rsidRDefault="0085574E" w:rsidP="00523C47">
      <w:pPr>
        <w:tabs>
          <w:tab w:val="left" w:pos="0"/>
        </w:tabs>
        <w:rPr>
          <w:rFonts w:cs="Arial"/>
          <w:noProof/>
          <w:szCs w:val="22"/>
        </w:rPr>
      </w:pPr>
      <w:hyperlink r:id="rId22" w:history="1">
        <w:r w:rsidR="00523C47" w:rsidRPr="00B70593">
          <w:rPr>
            <w:rStyle w:val="Hyperlink"/>
            <w:rFonts w:cs="Arial"/>
            <w:noProof/>
            <w:szCs w:val="22"/>
          </w:rPr>
          <w:t>International Union of Biochemistry and Molecular Biology</w:t>
        </w:r>
      </w:hyperlink>
      <w:r w:rsidR="00523C47" w:rsidRPr="00B70593">
        <w:rPr>
          <w:rFonts w:cs="Arial"/>
          <w:noProof/>
          <w:szCs w:val="22"/>
        </w:rPr>
        <w:t xml:space="preserve"> (IUBMB) Enzyme Nomeclature</w:t>
      </w:r>
      <w:r w:rsidR="009A75BF" w:rsidRPr="00B70593">
        <w:rPr>
          <w:rFonts w:cs="Arial"/>
          <w:noProof/>
          <w:szCs w:val="22"/>
        </w:rPr>
        <w:t>.</w:t>
      </w:r>
      <w:r w:rsidR="00523C47" w:rsidRPr="00B70593">
        <w:rPr>
          <w:rFonts w:cs="Arial"/>
          <w:noProof/>
          <w:szCs w:val="22"/>
        </w:rPr>
        <w:t xml:space="preserve"> A</w:t>
      </w:r>
      <w:r w:rsidR="009A75BF" w:rsidRPr="00B70593">
        <w:rPr>
          <w:rFonts w:cs="Arial"/>
          <w:noProof/>
          <w:szCs w:val="22"/>
        </w:rPr>
        <w:t>cc</w:t>
      </w:r>
      <w:r w:rsidR="00523C47" w:rsidRPr="00B70593">
        <w:rPr>
          <w:rFonts w:cs="Arial"/>
          <w:noProof/>
          <w:szCs w:val="22"/>
        </w:rPr>
        <w:t>essed 29 Nov 2017</w:t>
      </w:r>
      <w:r w:rsidR="009A75BF" w:rsidRPr="00B70593">
        <w:rPr>
          <w:rFonts w:cs="Arial"/>
          <w:noProof/>
          <w:szCs w:val="22"/>
        </w:rPr>
        <w:t>.</w:t>
      </w:r>
    </w:p>
    <w:p w14:paraId="6A347DF1" w14:textId="77777777" w:rsidR="00D05D80" w:rsidRPr="00B70593" w:rsidRDefault="00D05D80" w:rsidP="00D05D80">
      <w:pPr>
        <w:tabs>
          <w:tab w:val="left" w:pos="0"/>
        </w:tabs>
        <w:rPr>
          <w:rFonts w:cs="Arial"/>
          <w:noProof/>
          <w:szCs w:val="22"/>
        </w:rPr>
      </w:pPr>
    </w:p>
    <w:p w14:paraId="0151DC88" w14:textId="3294A137" w:rsidR="00A02BE5" w:rsidRPr="00B70593" w:rsidRDefault="00523C47" w:rsidP="00A02BE5">
      <w:pPr>
        <w:tabs>
          <w:tab w:val="left" w:pos="0"/>
        </w:tabs>
        <w:rPr>
          <w:szCs w:val="22"/>
          <w:lang w:val="en-AU"/>
        </w:rPr>
      </w:pPr>
      <w:r w:rsidRPr="00B70593">
        <w:rPr>
          <w:rFonts w:cs="Arial"/>
          <w:noProof/>
          <w:szCs w:val="22"/>
        </w:rPr>
        <w:t xml:space="preserve">JECFA (2006) </w:t>
      </w:r>
      <w:hyperlink r:id="rId23" w:history="1">
        <w:r w:rsidRPr="00B70593">
          <w:rPr>
            <w:rStyle w:val="Hyperlink"/>
            <w:rFonts w:cs="Arial"/>
            <w:noProof/>
            <w:szCs w:val="22"/>
          </w:rPr>
          <w:t>General specifications and considerations for enzyme preparations used in food processing</w:t>
        </w:r>
      </w:hyperlink>
      <w:r w:rsidR="009A75BF" w:rsidRPr="00B70593">
        <w:rPr>
          <w:rStyle w:val="Hyperlink"/>
          <w:rFonts w:cs="Arial"/>
          <w:noProof/>
          <w:szCs w:val="22"/>
        </w:rPr>
        <w:t>.</w:t>
      </w:r>
    </w:p>
    <w:p w14:paraId="6C6A603F" w14:textId="11231314" w:rsidR="00887F5E" w:rsidRDefault="00FB69C6" w:rsidP="006C22A7">
      <w:pPr>
        <w:spacing w:before="240"/>
        <w:rPr>
          <w:rFonts w:eastAsia="Calibri" w:cs="Arial"/>
          <w:szCs w:val="22"/>
          <w:lang w:val="en-AU" w:bidi="ar-SA"/>
        </w:rPr>
      </w:pPr>
      <w:r w:rsidRPr="00B70593">
        <w:rPr>
          <w:rFonts w:eastAsia="Calibri" w:cs="Arial"/>
          <w:szCs w:val="22"/>
          <w:lang w:val="en-AU" w:bidi="ar-SA"/>
        </w:rPr>
        <w:t xml:space="preserve">Kikuchi et al (1971) - </w:t>
      </w:r>
      <w:hyperlink r:id="rId24" w:history="1">
        <w:r w:rsidRPr="00B70593">
          <w:rPr>
            <w:rStyle w:val="Hyperlink"/>
            <w:rFonts w:eastAsia="Calibri" w:cs="Arial"/>
            <w:szCs w:val="22"/>
            <w:lang w:val="en-AU" w:bidi="ar-SA"/>
          </w:rPr>
          <w:t>Peptidoglutaminase. Enzymes for selective deamidation of γ-amide of peptide-bound glutamine</w:t>
        </w:r>
      </w:hyperlink>
      <w:r w:rsidR="009A75BF" w:rsidRPr="00B70593">
        <w:rPr>
          <w:rFonts w:eastAsia="Calibri" w:cs="Arial"/>
          <w:szCs w:val="22"/>
          <w:lang w:val="en-AU" w:bidi="ar-SA"/>
        </w:rPr>
        <w:t>. A</w:t>
      </w:r>
      <w:r w:rsidRPr="00B70593">
        <w:rPr>
          <w:rFonts w:eastAsia="Calibri" w:cs="Arial"/>
          <w:szCs w:val="22"/>
          <w:lang w:val="en-AU" w:bidi="ar-SA"/>
        </w:rPr>
        <w:t>c</w:t>
      </w:r>
      <w:r w:rsidR="009A75BF" w:rsidRPr="00B70593">
        <w:rPr>
          <w:rFonts w:eastAsia="Calibri" w:cs="Arial"/>
          <w:szCs w:val="22"/>
          <w:lang w:val="en-AU" w:bidi="ar-SA"/>
        </w:rPr>
        <w:t>c</w:t>
      </w:r>
      <w:r w:rsidRPr="00B70593">
        <w:rPr>
          <w:rFonts w:eastAsia="Calibri" w:cs="Arial"/>
          <w:szCs w:val="22"/>
          <w:lang w:val="en-AU" w:bidi="ar-SA"/>
        </w:rPr>
        <w:t xml:space="preserve">essed </w:t>
      </w:r>
      <w:r w:rsidR="009A75BF" w:rsidRPr="00B70593">
        <w:rPr>
          <w:rFonts w:eastAsia="Calibri" w:cs="Arial"/>
          <w:szCs w:val="22"/>
          <w:lang w:val="en-AU" w:bidi="ar-SA"/>
        </w:rPr>
        <w:t>19 Feb 2018.</w:t>
      </w:r>
    </w:p>
    <w:p w14:paraId="795EF8DF" w14:textId="77777777" w:rsidR="00887F5E" w:rsidRDefault="00887F5E" w:rsidP="00887F5E">
      <w:pPr>
        <w:rPr>
          <w:rFonts w:eastAsia="Calibri" w:cs="Arial"/>
          <w:szCs w:val="22"/>
          <w:lang w:val="en-AU" w:bidi="ar-SA"/>
        </w:rPr>
      </w:pPr>
    </w:p>
    <w:p w14:paraId="0E62EBB7" w14:textId="30A0B85F" w:rsidR="00887F5E" w:rsidRPr="00B70593" w:rsidRDefault="00887F5E" w:rsidP="00887F5E">
      <w:pPr>
        <w:rPr>
          <w:rFonts w:eastAsia="Calibri" w:cs="Arial"/>
          <w:szCs w:val="22"/>
          <w:lang w:val="en-AU" w:bidi="ar-SA"/>
        </w:rPr>
      </w:pPr>
      <w:r w:rsidRPr="00941403">
        <w:rPr>
          <w:lang w:val="en-AU" w:eastAsia="en-AU"/>
        </w:rPr>
        <w:t>Lombardi E, Bergamo P, Maurano F, Bozzella G, Luongo D, Mazzarella G, Rotondi Aufiero V, Iaquinto G, Rossi M (2013) Selective inhibition of the gliadin-specific, cell-mediated immune response by transamidation with microbial transglutaminase. Journal of Leukocyte Biology 93(4):479-88.</w:t>
      </w:r>
    </w:p>
    <w:p w14:paraId="32AAB5D9" w14:textId="77777777" w:rsidR="00887F5E" w:rsidRDefault="00887F5E" w:rsidP="00887F5E">
      <w:pPr>
        <w:rPr>
          <w:rFonts w:eastAsia="Calibri" w:cs="Arial"/>
          <w:szCs w:val="22"/>
          <w:lang w:bidi="ar-SA"/>
        </w:rPr>
      </w:pPr>
    </w:p>
    <w:p w14:paraId="75D97C9B" w14:textId="784964BE" w:rsidR="00887F5E" w:rsidRPr="00941403" w:rsidRDefault="00887F5E" w:rsidP="00887F5E">
      <w:pPr>
        <w:rPr>
          <w:lang w:val="en-AU" w:eastAsia="en-AU"/>
        </w:rPr>
      </w:pPr>
      <w:r w:rsidRPr="00941403">
        <w:rPr>
          <w:lang w:val="en-AU" w:eastAsia="en-AU"/>
        </w:rPr>
        <w:t xml:space="preserve">Matthias T, Jeremias P, Neidhöfer S, Lerner A (2016) The industrial food additive, microbial transglutaminase, mimics tissue transglutaminase and is immunogenic in celiac disease patients. Autoimmunity Reviews 15(12):1111-1119. </w:t>
      </w:r>
    </w:p>
    <w:p w14:paraId="3FDFCA8E" w14:textId="77777777" w:rsidR="00887F5E" w:rsidRDefault="00887F5E" w:rsidP="00B70593">
      <w:pPr>
        <w:widowControl/>
        <w:rPr>
          <w:rFonts w:eastAsia="Calibri" w:cs="Arial"/>
          <w:szCs w:val="22"/>
          <w:lang w:bidi="ar-SA"/>
        </w:rPr>
      </w:pPr>
    </w:p>
    <w:p w14:paraId="082AAB13" w14:textId="77777777" w:rsidR="00887F5E" w:rsidRDefault="00887F5E" w:rsidP="00887F5E">
      <w:pPr>
        <w:rPr>
          <w:lang w:val="en-AU" w:eastAsia="en-AU"/>
        </w:rPr>
      </w:pPr>
      <w:r w:rsidRPr="00941403">
        <w:rPr>
          <w:lang w:val="en-AU" w:eastAsia="en-AU"/>
        </w:rPr>
        <w:lastRenderedPageBreak/>
        <w:t xml:space="preserve">Ruh T, Ohsam J, Pasternack R, Yokoyama K, Kumazawa Y, Hils M (2014) Microbial transglutaminase treatment in pasta-production does not affect the immunoreactivity of gliadin with celiac disease patients' sera. Journal of Agricultural and Food Chemistry 62(30):7604-11. </w:t>
      </w:r>
    </w:p>
    <w:p w14:paraId="2F56DAEE" w14:textId="77777777" w:rsidR="00887F5E" w:rsidRDefault="00887F5E" w:rsidP="00887F5E">
      <w:pPr>
        <w:rPr>
          <w:rFonts w:eastAsia="Calibri" w:cs="Arial"/>
          <w:szCs w:val="22"/>
          <w:lang w:bidi="ar-SA"/>
        </w:rPr>
      </w:pPr>
    </w:p>
    <w:p w14:paraId="22FD21AA" w14:textId="2B532247" w:rsidR="00887F5E" w:rsidRDefault="00887F5E" w:rsidP="00887F5E">
      <w:pPr>
        <w:rPr>
          <w:lang w:val="en-AU" w:eastAsia="en-AU"/>
        </w:rPr>
      </w:pPr>
      <w:r>
        <w:rPr>
          <w:lang w:val="en-AU" w:eastAsia="en-AU"/>
        </w:rPr>
        <w:t>Skovbjerg H</w:t>
      </w:r>
      <w:r w:rsidRPr="0039383C">
        <w:rPr>
          <w:lang w:val="en-AU" w:eastAsia="en-AU"/>
        </w:rPr>
        <w:t xml:space="preserve">, </w:t>
      </w:r>
      <w:r>
        <w:rPr>
          <w:lang w:val="en-AU" w:eastAsia="en-AU"/>
        </w:rPr>
        <w:t xml:space="preserve">Koch C, Anthonsen D, Sjöström H (2004) </w:t>
      </w:r>
      <w:r w:rsidRPr="0039383C">
        <w:rPr>
          <w:lang w:val="en-AU" w:eastAsia="en-AU"/>
        </w:rPr>
        <w:t>Deamidation and cross-linking of gliadin peptides by transglutaminases and the relation to celiac disease.</w:t>
      </w:r>
      <w:r>
        <w:rPr>
          <w:lang w:val="en-AU" w:eastAsia="en-AU"/>
        </w:rPr>
        <w:t xml:space="preserve"> Biochimica et Biophysica Acta </w:t>
      </w:r>
      <w:r w:rsidRPr="0039383C">
        <w:rPr>
          <w:lang w:val="en-AU" w:eastAsia="en-AU"/>
        </w:rPr>
        <w:t>1690(3):220-30</w:t>
      </w:r>
      <w:r>
        <w:rPr>
          <w:lang w:val="en-AU" w:eastAsia="en-AU"/>
        </w:rPr>
        <w:t xml:space="preserve">. </w:t>
      </w:r>
    </w:p>
    <w:p w14:paraId="3528EF93" w14:textId="77777777" w:rsidR="00887F5E" w:rsidRDefault="00887F5E" w:rsidP="00B70593">
      <w:pPr>
        <w:widowControl/>
        <w:rPr>
          <w:rFonts w:eastAsia="Calibri" w:cs="Arial"/>
          <w:szCs w:val="22"/>
          <w:lang w:bidi="ar-SA"/>
        </w:rPr>
      </w:pPr>
    </w:p>
    <w:p w14:paraId="0ADAB1EC" w14:textId="3FD6F95B" w:rsidR="009A75BF" w:rsidRPr="00B70593" w:rsidRDefault="009A75BF" w:rsidP="00B70593">
      <w:pPr>
        <w:widowControl/>
        <w:rPr>
          <w:rFonts w:eastAsia="Calibri" w:cs="Arial"/>
          <w:szCs w:val="22"/>
          <w:lang w:bidi="ar-SA"/>
        </w:rPr>
      </w:pPr>
      <w:r w:rsidRPr="00B70593">
        <w:rPr>
          <w:rFonts w:eastAsia="Calibri" w:cs="Arial"/>
          <w:szCs w:val="22"/>
          <w:lang w:bidi="ar-SA"/>
        </w:rPr>
        <w:t xml:space="preserve">Yamaguchi et al (1991) - </w:t>
      </w:r>
      <w:hyperlink r:id="rId25" w:history="1">
        <w:r w:rsidRPr="00B70593">
          <w:rPr>
            <w:rStyle w:val="Hyperlink"/>
            <w:rFonts w:eastAsia="Calibri" w:cs="Arial"/>
            <w:szCs w:val="22"/>
            <w:lang w:bidi="ar-SA"/>
          </w:rPr>
          <w:t>Crystal Structures of Protein Glutaminase and Its Pro Forms Converted into Enzyme-Substrate Complex</w:t>
        </w:r>
      </w:hyperlink>
      <w:r w:rsidRPr="00B70593">
        <w:rPr>
          <w:rFonts w:eastAsia="Calibri" w:cs="Arial"/>
          <w:szCs w:val="22"/>
          <w:lang w:bidi="ar-SA"/>
        </w:rPr>
        <w:t xml:space="preserve">. Accessed 19 Feb 2018. </w:t>
      </w:r>
    </w:p>
    <w:p w14:paraId="13BFB753" w14:textId="4EEDF165" w:rsidR="00B70593" w:rsidRPr="00B70593" w:rsidRDefault="00B70593" w:rsidP="00B70593">
      <w:pPr>
        <w:widowControl/>
        <w:rPr>
          <w:rFonts w:eastAsia="Calibri" w:cs="Arial"/>
          <w:szCs w:val="22"/>
          <w:lang w:val="en-AU" w:bidi="ar-SA"/>
        </w:rPr>
      </w:pPr>
    </w:p>
    <w:p w14:paraId="1952996B" w14:textId="149B9D1C" w:rsidR="00B70593" w:rsidRPr="00B70593" w:rsidRDefault="00B70593" w:rsidP="00B70593">
      <w:pPr>
        <w:widowControl/>
        <w:rPr>
          <w:rFonts w:eastAsia="Calibri" w:cs="Arial"/>
          <w:szCs w:val="22"/>
          <w:lang w:val="en-AU" w:bidi="ar-SA"/>
        </w:rPr>
      </w:pPr>
      <w:r w:rsidRPr="00B70593">
        <w:rPr>
          <w:rFonts w:eastAsia="Calibri" w:cs="Arial"/>
          <w:szCs w:val="22"/>
          <w:lang w:val="en" w:bidi="ar-SA"/>
        </w:rPr>
        <w:t xml:space="preserve">Yamaguchi, S., Jeenes, D. J. and Archer, D. B. (2001), </w:t>
      </w:r>
      <w:hyperlink r:id="rId26" w:history="1">
        <w:r w:rsidRPr="00B70593">
          <w:rPr>
            <w:rStyle w:val="Hyperlink"/>
            <w:rFonts w:eastAsia="Calibri" w:cs="Arial"/>
            <w:szCs w:val="22"/>
            <w:lang w:val="en" w:bidi="ar-SA"/>
          </w:rPr>
          <w:t xml:space="preserve">Protein-glutaminase from </w:t>
        </w:r>
        <w:r w:rsidRPr="00B70593">
          <w:rPr>
            <w:rStyle w:val="Hyperlink"/>
            <w:rFonts w:eastAsia="Calibri" w:cs="Arial"/>
            <w:i/>
            <w:iCs/>
            <w:szCs w:val="22"/>
            <w:lang w:val="en" w:bidi="ar-SA"/>
          </w:rPr>
          <w:t>Chryseobacterium proteolyticum</w:t>
        </w:r>
        <w:r w:rsidRPr="00B70593">
          <w:rPr>
            <w:rStyle w:val="Hyperlink"/>
            <w:rFonts w:eastAsia="Calibri" w:cs="Arial"/>
            <w:szCs w:val="22"/>
            <w:lang w:val="en" w:bidi="ar-SA"/>
          </w:rPr>
          <w:t>, an enzyme that deamidates glutaminyl residues in proteins. European Journal of Biochemistry</w:t>
        </w:r>
      </w:hyperlink>
      <w:r w:rsidRPr="00B70593">
        <w:rPr>
          <w:rFonts w:eastAsia="Calibri" w:cs="Arial"/>
          <w:szCs w:val="22"/>
          <w:lang w:val="en" w:bidi="ar-SA"/>
        </w:rPr>
        <w:t xml:space="preserve">. </w:t>
      </w:r>
      <w:r w:rsidRPr="00B70593">
        <w:rPr>
          <w:rFonts w:eastAsia="Calibri" w:cs="Arial"/>
          <w:szCs w:val="22"/>
          <w:lang w:bidi="ar-SA"/>
        </w:rPr>
        <w:t>Accessed 19 Feb 2018.</w:t>
      </w:r>
    </w:p>
    <w:p w14:paraId="436ABE9C" w14:textId="6CDC25A6" w:rsidR="00887F5E" w:rsidRDefault="00887F5E" w:rsidP="006C22A7">
      <w:pPr>
        <w:spacing w:before="240"/>
        <w:rPr>
          <w:b/>
          <w:sz w:val="28"/>
          <w:szCs w:val="28"/>
        </w:rPr>
      </w:pPr>
      <w:r>
        <w:rPr>
          <w:lang w:val="en-AU"/>
        </w:rPr>
        <w:t>Zhou L, Kooy-Winkelaar YMC</w:t>
      </w:r>
      <w:r w:rsidRPr="00C528B8">
        <w:rPr>
          <w:lang w:val="en-AU"/>
        </w:rPr>
        <w:t>, Cordf</w:t>
      </w:r>
      <w:r>
        <w:rPr>
          <w:lang w:val="en-AU"/>
        </w:rPr>
        <w:t>unke RA, Dragan I, Thompson A</w:t>
      </w:r>
      <w:r w:rsidRPr="00C528B8">
        <w:rPr>
          <w:lang w:val="en-AU"/>
        </w:rPr>
        <w:t>, Drijfh</w:t>
      </w:r>
      <w:r>
        <w:rPr>
          <w:lang w:val="en-AU"/>
        </w:rPr>
        <w:t>out JW, van Veelen PA, Chen H</w:t>
      </w:r>
      <w:r w:rsidRPr="00C528B8">
        <w:rPr>
          <w:lang w:val="en-AU"/>
        </w:rPr>
        <w:t>, Ko</w:t>
      </w:r>
      <w:r>
        <w:rPr>
          <w:lang w:val="en-AU"/>
        </w:rPr>
        <w:t xml:space="preserve">ning F (2017) </w:t>
      </w:r>
      <w:r w:rsidRPr="00C528B8">
        <w:rPr>
          <w:lang w:val="en-AU"/>
        </w:rPr>
        <w:t>Abrogation of Immunogenic Properties of Gliadin Peptides through Transamidation by Microbial Transglutaminase Is Acyl-Acceptor Dependent.</w:t>
      </w:r>
      <w:r>
        <w:rPr>
          <w:lang w:val="en-AU"/>
        </w:rPr>
        <w:t xml:space="preserve"> Journal of Agricultural and Food Chemistry </w:t>
      </w:r>
      <w:r w:rsidRPr="00C528B8">
        <w:rPr>
          <w:lang w:val="en-AU"/>
        </w:rPr>
        <w:t>65(34):7542-7552</w:t>
      </w:r>
      <w:r>
        <w:rPr>
          <w:lang w:val="en-AU"/>
        </w:rPr>
        <w:t>.</w:t>
      </w:r>
    </w:p>
    <w:p w14:paraId="36A1D392" w14:textId="09B6C330" w:rsidR="0012388D" w:rsidRDefault="00D15A08" w:rsidP="006C22A7">
      <w:pPr>
        <w:spacing w:before="240"/>
        <w:rPr>
          <w:b/>
          <w:sz w:val="28"/>
          <w:szCs w:val="28"/>
        </w:rPr>
      </w:pPr>
      <w:r w:rsidRPr="006C22A7">
        <w:rPr>
          <w:b/>
          <w:sz w:val="28"/>
          <w:szCs w:val="28"/>
        </w:rPr>
        <w:t>A</w:t>
      </w:r>
      <w:bookmarkEnd w:id="120"/>
      <w:bookmarkEnd w:id="121"/>
      <w:bookmarkEnd w:id="122"/>
      <w:bookmarkEnd w:id="123"/>
      <w:bookmarkEnd w:id="124"/>
      <w:r w:rsidR="00B21055">
        <w:rPr>
          <w:b/>
          <w:sz w:val="28"/>
          <w:szCs w:val="28"/>
        </w:rPr>
        <w:t>ttachments</w:t>
      </w:r>
    </w:p>
    <w:p w14:paraId="793E4BB2" w14:textId="77777777" w:rsidR="006C22A7" w:rsidRDefault="006C22A7" w:rsidP="00755F02"/>
    <w:p w14:paraId="65EAECB0" w14:textId="162BB48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0087140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4D9EBF8D" w14:textId="77777777" w:rsidR="00E3384D" w:rsidRPr="00932F14" w:rsidRDefault="003C4969" w:rsidP="00E3384D">
      <w:pPr>
        <w:pStyle w:val="Heading2"/>
        <w:ind w:left="0" w:firstLine="0"/>
      </w:pPr>
      <w:r w:rsidRPr="00932F14">
        <w:br w:type="page"/>
      </w:r>
      <w:bookmarkStart w:id="125" w:name="_Toc415572037"/>
      <w:bookmarkStart w:id="126" w:name="_Toc492455665"/>
      <w:bookmarkStart w:id="127" w:name="_Toc29883131"/>
      <w:bookmarkStart w:id="128" w:name="_Toc41906818"/>
      <w:bookmarkStart w:id="129" w:name="_Toc41907565"/>
      <w:bookmarkStart w:id="130" w:name="_Toc120358596"/>
      <w:bookmarkStart w:id="131" w:name="_Toc175381458"/>
      <w:bookmarkStart w:id="132" w:name="_Toc11735644"/>
    </w:p>
    <w:p w14:paraId="6BFE731F" w14:textId="77777777" w:rsidR="00E3384D" w:rsidRPr="00456BD5" w:rsidRDefault="00E3384D" w:rsidP="00E3384D">
      <w:pPr>
        <w:pStyle w:val="Heading2"/>
        <w:ind w:left="0" w:firstLine="0"/>
      </w:pPr>
      <w:bookmarkStart w:id="133" w:name="_Toc506902874"/>
      <w:r w:rsidRPr="00932F14">
        <w:lastRenderedPageBreak/>
        <w:t xml:space="preserve">Attachment </w:t>
      </w:r>
      <w:r>
        <w:t xml:space="preserve">A – </w:t>
      </w:r>
      <w:bookmarkStart w:id="134" w:name="_Toc415572039"/>
      <w:bookmarkEnd w:id="125"/>
      <w:r>
        <w:t xml:space="preserve">Draft </w:t>
      </w:r>
      <w:r w:rsidRPr="00932F14">
        <w:t>variation to the</w:t>
      </w:r>
      <w:r w:rsidRPr="00755F02">
        <w:t xml:space="preserve"> </w:t>
      </w:r>
      <w:r w:rsidRPr="00795D86">
        <w:rPr>
          <w:i/>
        </w:rPr>
        <w:t>Australia New Zealand Food Standards Code</w:t>
      </w:r>
      <w:bookmarkEnd w:id="126"/>
      <w:bookmarkEnd w:id="133"/>
      <w:r>
        <w:rPr>
          <w:i/>
        </w:rPr>
        <w:t xml:space="preserve"> </w:t>
      </w:r>
      <w:bookmarkEnd w:id="134"/>
    </w:p>
    <w:p w14:paraId="1B935BAF" w14:textId="77777777" w:rsidR="00E3384D" w:rsidRPr="00C0014E" w:rsidRDefault="00E3384D" w:rsidP="00E3384D">
      <w:pPr>
        <w:rPr>
          <w:noProof/>
          <w:sz w:val="20"/>
          <w:lang w:val="en-AU" w:eastAsia="en-AU"/>
        </w:rPr>
      </w:pPr>
      <w:r w:rsidRPr="00C0014E">
        <w:rPr>
          <w:noProof/>
          <w:sz w:val="20"/>
          <w:lang w:eastAsia="en-GB" w:bidi="ar-SA"/>
        </w:rPr>
        <w:drawing>
          <wp:inline distT="0" distB="0" distL="0" distR="0" wp14:anchorId="4B05E168" wp14:editId="3BA5404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30FFF1" w14:textId="77777777" w:rsidR="00E3384D" w:rsidRPr="006153A1" w:rsidRDefault="00E3384D" w:rsidP="00E3384D">
      <w:pPr>
        <w:pBdr>
          <w:bottom w:val="single" w:sz="4" w:space="1" w:color="auto"/>
        </w:pBdr>
        <w:rPr>
          <w:b/>
          <w:bCs/>
        </w:rPr>
      </w:pPr>
    </w:p>
    <w:p w14:paraId="15D7C9AC" w14:textId="77777777" w:rsidR="00E3384D" w:rsidRDefault="00E3384D" w:rsidP="00E3384D">
      <w:pPr>
        <w:pBdr>
          <w:bottom w:val="single" w:sz="4" w:space="1" w:color="auto"/>
        </w:pBdr>
        <w:rPr>
          <w:b/>
          <w:sz w:val="20"/>
        </w:rPr>
      </w:pPr>
      <w:r w:rsidRPr="006153A1">
        <w:rPr>
          <w:b/>
          <w:sz w:val="20"/>
        </w:rPr>
        <w:t>Food Standards (</w:t>
      </w:r>
      <w:r w:rsidRPr="00F618DF">
        <w:rPr>
          <w:b/>
          <w:sz w:val="20"/>
        </w:rPr>
        <w:t>Application A</w:t>
      </w:r>
      <w:r>
        <w:rPr>
          <w:b/>
          <w:sz w:val="20"/>
        </w:rPr>
        <w:t>1136</w:t>
      </w:r>
      <w:r w:rsidRPr="00F618DF">
        <w:rPr>
          <w:b/>
          <w:sz w:val="20"/>
        </w:rPr>
        <w:t xml:space="preserve"> </w:t>
      </w:r>
      <w:r w:rsidRPr="00A32232">
        <w:rPr>
          <w:b/>
          <w:sz w:val="20"/>
        </w:rPr>
        <w:t>–</w:t>
      </w:r>
      <w:r>
        <w:rPr>
          <w:b/>
          <w:sz w:val="20"/>
        </w:rPr>
        <w:t xml:space="preserve"> Protein Glutaminase as a Processing Aid (Enzyme))</w:t>
      </w:r>
      <w:r w:rsidRPr="00C0014E">
        <w:rPr>
          <w:b/>
          <w:sz w:val="20"/>
        </w:rPr>
        <w:t xml:space="preserve"> Variation</w:t>
      </w:r>
    </w:p>
    <w:p w14:paraId="12608E8C" w14:textId="77777777" w:rsidR="00E3384D" w:rsidRPr="00C0014E" w:rsidRDefault="00E3384D" w:rsidP="00E3384D">
      <w:pPr>
        <w:pBdr>
          <w:bottom w:val="single" w:sz="4" w:space="1" w:color="auto"/>
        </w:pBdr>
        <w:rPr>
          <w:b/>
          <w:sz w:val="20"/>
        </w:rPr>
      </w:pPr>
    </w:p>
    <w:p w14:paraId="1D495A24" w14:textId="77777777" w:rsidR="00E3384D" w:rsidRPr="008F2616" w:rsidRDefault="00E3384D" w:rsidP="00E3384D">
      <w:pPr>
        <w:rPr>
          <w:sz w:val="20"/>
        </w:rPr>
      </w:pPr>
    </w:p>
    <w:p w14:paraId="2213E348" w14:textId="77777777" w:rsidR="00E3384D" w:rsidRPr="008F2616" w:rsidRDefault="00E3384D" w:rsidP="00E3384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70031094" w14:textId="77777777" w:rsidR="00E3384D" w:rsidRPr="008F2616" w:rsidRDefault="00E3384D" w:rsidP="00E3384D">
      <w:pPr>
        <w:rPr>
          <w:sz w:val="20"/>
        </w:rPr>
      </w:pPr>
    </w:p>
    <w:p w14:paraId="409FEC49" w14:textId="7320A830" w:rsidR="00E3384D" w:rsidRPr="008F2616" w:rsidRDefault="00E3384D" w:rsidP="00E3384D">
      <w:pPr>
        <w:rPr>
          <w:sz w:val="20"/>
        </w:rPr>
      </w:pPr>
      <w:r w:rsidRPr="008F2616">
        <w:rPr>
          <w:sz w:val="20"/>
        </w:rPr>
        <w:t xml:space="preserve">Dated </w:t>
      </w:r>
      <w:r w:rsidR="005001CF" w:rsidRPr="00EF04C5">
        <w:rPr>
          <w:color w:val="FF0000"/>
          <w:sz w:val="20"/>
        </w:rPr>
        <w:t>[to be completed by Delegate]</w:t>
      </w:r>
    </w:p>
    <w:p w14:paraId="5238835C" w14:textId="77777777" w:rsidR="00E3384D" w:rsidRPr="008F2616" w:rsidRDefault="00E3384D" w:rsidP="00E3384D">
      <w:pPr>
        <w:rPr>
          <w:sz w:val="20"/>
        </w:rPr>
      </w:pPr>
    </w:p>
    <w:p w14:paraId="5D144E44" w14:textId="77777777" w:rsidR="00E3384D" w:rsidRDefault="00E3384D" w:rsidP="00E3384D">
      <w:pPr>
        <w:rPr>
          <w:sz w:val="20"/>
        </w:rPr>
      </w:pPr>
    </w:p>
    <w:p w14:paraId="6F0B6B7B" w14:textId="77777777" w:rsidR="00E3384D" w:rsidRDefault="00E3384D" w:rsidP="00E3384D">
      <w:pPr>
        <w:rPr>
          <w:sz w:val="20"/>
        </w:rPr>
      </w:pPr>
    </w:p>
    <w:p w14:paraId="2427334A" w14:textId="77777777" w:rsidR="00E3384D" w:rsidRPr="008F2616" w:rsidRDefault="00E3384D" w:rsidP="00E3384D">
      <w:pPr>
        <w:rPr>
          <w:sz w:val="20"/>
        </w:rPr>
      </w:pPr>
    </w:p>
    <w:p w14:paraId="0EE75D0D" w14:textId="77777777" w:rsidR="00E3384D" w:rsidRPr="008F2616" w:rsidRDefault="00E3384D" w:rsidP="00E3384D">
      <w:pPr>
        <w:rPr>
          <w:sz w:val="20"/>
        </w:rPr>
      </w:pPr>
    </w:p>
    <w:p w14:paraId="5D9666F2" w14:textId="35295A0E" w:rsidR="005001CF" w:rsidRPr="002669A9" w:rsidRDefault="002669A9" w:rsidP="005001CF">
      <w:pPr>
        <w:rPr>
          <w:sz w:val="20"/>
        </w:rPr>
      </w:pPr>
      <w:r w:rsidRPr="002669A9">
        <w:rPr>
          <w:sz w:val="20"/>
        </w:rPr>
        <w:t>Glen Neal</w:t>
      </w:r>
    </w:p>
    <w:p w14:paraId="35706D99" w14:textId="4E3BA500" w:rsidR="002669A9" w:rsidRPr="002669A9" w:rsidRDefault="002669A9" w:rsidP="005001CF">
      <w:pPr>
        <w:rPr>
          <w:sz w:val="20"/>
        </w:rPr>
      </w:pPr>
      <w:r w:rsidRPr="002669A9">
        <w:rPr>
          <w:sz w:val="20"/>
        </w:rPr>
        <w:t>General Manager, Risk Management &amp; Intelligence</w:t>
      </w:r>
    </w:p>
    <w:p w14:paraId="0310E10E" w14:textId="77777777" w:rsidR="00E3384D" w:rsidRPr="008F2616" w:rsidRDefault="00E3384D" w:rsidP="00E3384D">
      <w:pPr>
        <w:rPr>
          <w:sz w:val="20"/>
        </w:rPr>
      </w:pPr>
      <w:r w:rsidRPr="008F2616">
        <w:rPr>
          <w:sz w:val="20"/>
        </w:rPr>
        <w:t>Delegate of the Board of Food Standards Australia New Zealand</w:t>
      </w:r>
    </w:p>
    <w:p w14:paraId="39969207" w14:textId="77777777" w:rsidR="00E3384D" w:rsidRDefault="00E3384D" w:rsidP="00E3384D">
      <w:pPr>
        <w:rPr>
          <w:sz w:val="20"/>
        </w:rPr>
      </w:pPr>
    </w:p>
    <w:p w14:paraId="606CFC5F" w14:textId="77777777" w:rsidR="00E3384D" w:rsidRDefault="00E3384D" w:rsidP="00E3384D">
      <w:pPr>
        <w:rPr>
          <w:sz w:val="20"/>
        </w:rPr>
      </w:pPr>
    </w:p>
    <w:p w14:paraId="501AB395" w14:textId="77777777" w:rsidR="00E3384D" w:rsidRDefault="00E3384D" w:rsidP="00E3384D">
      <w:pPr>
        <w:rPr>
          <w:sz w:val="20"/>
        </w:rPr>
      </w:pPr>
    </w:p>
    <w:p w14:paraId="2B684AA0" w14:textId="77777777" w:rsidR="00E3384D" w:rsidRDefault="00E3384D" w:rsidP="00E3384D">
      <w:pPr>
        <w:rPr>
          <w:sz w:val="20"/>
        </w:rPr>
      </w:pPr>
    </w:p>
    <w:p w14:paraId="5B039A64" w14:textId="77777777" w:rsidR="00E3384D" w:rsidRDefault="00E3384D" w:rsidP="00E3384D">
      <w:pPr>
        <w:rPr>
          <w:sz w:val="20"/>
        </w:rPr>
      </w:pPr>
    </w:p>
    <w:p w14:paraId="3446C5FF" w14:textId="77777777" w:rsidR="00E3384D" w:rsidRDefault="00E3384D" w:rsidP="00E3384D">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1A268F0C" w14:textId="77777777" w:rsidR="00E3384D" w:rsidRPr="00360C8F" w:rsidRDefault="00E3384D" w:rsidP="00E3384D">
      <w:pPr>
        <w:pBdr>
          <w:top w:val="single" w:sz="4" w:space="1" w:color="auto"/>
          <w:left w:val="single" w:sz="4" w:space="4" w:color="auto"/>
          <w:bottom w:val="single" w:sz="4" w:space="1" w:color="auto"/>
          <w:right w:val="single" w:sz="4" w:space="4" w:color="auto"/>
        </w:pBdr>
        <w:rPr>
          <w:sz w:val="20"/>
          <w:lang w:val="en-AU"/>
        </w:rPr>
      </w:pPr>
    </w:p>
    <w:p w14:paraId="544A76CE" w14:textId="77777777" w:rsidR="00E3384D" w:rsidRPr="00360C8F" w:rsidRDefault="00E3384D" w:rsidP="00E3384D">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E3384D">
        <w:rPr>
          <w:color w:val="FF0000"/>
          <w:sz w:val="20"/>
          <w:lang w:val="en-AU"/>
        </w:rPr>
        <w:t>XX on XX Month 20XX</w:t>
      </w:r>
      <w:r w:rsidRPr="00360C8F">
        <w:rPr>
          <w:sz w:val="20"/>
          <w:lang w:val="en-AU"/>
        </w:rPr>
        <w:t xml:space="preserve">. This means that this date is the gazettal date for the purposes of clause 3 of the variation. </w:t>
      </w:r>
    </w:p>
    <w:p w14:paraId="47BCA68F" w14:textId="77777777" w:rsidR="00E3384D" w:rsidRDefault="00E3384D" w:rsidP="00E3384D">
      <w:pPr>
        <w:rPr>
          <w:sz w:val="20"/>
        </w:rPr>
      </w:pPr>
    </w:p>
    <w:p w14:paraId="2B4EA11B" w14:textId="77777777" w:rsidR="00E3384D" w:rsidRDefault="00E3384D" w:rsidP="00E3384D">
      <w:pPr>
        <w:widowControl/>
        <w:rPr>
          <w:sz w:val="20"/>
        </w:rPr>
      </w:pPr>
      <w:r>
        <w:rPr>
          <w:sz w:val="20"/>
        </w:rPr>
        <w:br w:type="page"/>
      </w:r>
    </w:p>
    <w:p w14:paraId="02874488" w14:textId="77777777" w:rsidR="00E3384D" w:rsidRPr="005F585D" w:rsidRDefault="00E3384D" w:rsidP="00E3384D">
      <w:pPr>
        <w:pStyle w:val="FSCDraftingitemheading"/>
      </w:pPr>
      <w:r w:rsidRPr="00D433B1">
        <w:lastRenderedPageBreak/>
        <w:t>1</w:t>
      </w:r>
      <w:r w:rsidRPr="00D433B1">
        <w:tab/>
        <w:t>Name</w:t>
      </w:r>
    </w:p>
    <w:p w14:paraId="1A5CBFF8" w14:textId="77777777" w:rsidR="00E3384D" w:rsidRPr="00F618DF" w:rsidRDefault="00E3384D" w:rsidP="00E3384D">
      <w:pPr>
        <w:pStyle w:val="FSCDraftingitem"/>
      </w:pPr>
      <w:r w:rsidRPr="00DB170D">
        <w:t xml:space="preserve">This instrument is the </w:t>
      </w:r>
      <w:r w:rsidRPr="00792F7C">
        <w:rPr>
          <w:i/>
        </w:rPr>
        <w:t>Food Standards (</w:t>
      </w:r>
      <w:r w:rsidRPr="00EA2A16">
        <w:rPr>
          <w:i/>
        </w:rPr>
        <w:t>Application A1136 – Protein Glutaminase as a Processing Aid (Enzyme)</w:t>
      </w:r>
      <w:r w:rsidRPr="00792F7C">
        <w:rPr>
          <w:i/>
        </w:rPr>
        <w:t>) Variation</w:t>
      </w:r>
      <w:r w:rsidRPr="00F618DF">
        <w:t>.</w:t>
      </w:r>
    </w:p>
    <w:p w14:paraId="733D472A" w14:textId="77777777" w:rsidR="00E3384D" w:rsidRPr="00D433B1" w:rsidRDefault="00E3384D" w:rsidP="00E3384D">
      <w:pPr>
        <w:pStyle w:val="FSCDraftingitemheading"/>
      </w:pPr>
      <w:r w:rsidRPr="00D433B1">
        <w:t>2</w:t>
      </w:r>
      <w:r w:rsidRPr="00D433B1">
        <w:tab/>
        <w:t xml:space="preserve">Variation to </w:t>
      </w:r>
      <w:r w:rsidRPr="00ED7E79">
        <w:t xml:space="preserve">a standard </w:t>
      </w:r>
      <w:r w:rsidRPr="00D433B1">
        <w:t xml:space="preserve">in the </w:t>
      </w:r>
      <w:r w:rsidRPr="00C51355">
        <w:rPr>
          <w:i/>
        </w:rPr>
        <w:t>Australia New Zealand Food Standards Code</w:t>
      </w:r>
    </w:p>
    <w:p w14:paraId="10DFFE56" w14:textId="77777777" w:rsidR="00E3384D" w:rsidRDefault="00E3384D" w:rsidP="00E3384D">
      <w:pPr>
        <w:pStyle w:val="FSCDraftingitem"/>
      </w:pPr>
      <w:r>
        <w:t xml:space="preserve">The Schedule varies </w:t>
      </w:r>
      <w:r w:rsidRPr="00ED7E79">
        <w:t xml:space="preserve">a Standard </w:t>
      </w:r>
      <w:r>
        <w:t xml:space="preserve">in the </w:t>
      </w:r>
      <w:r w:rsidRPr="00792F7C">
        <w:rPr>
          <w:i/>
        </w:rPr>
        <w:t>Australia New Zealand Food Standards Code</w:t>
      </w:r>
      <w:r>
        <w:t>.</w:t>
      </w:r>
    </w:p>
    <w:p w14:paraId="7C2CE841" w14:textId="77777777" w:rsidR="00E3384D" w:rsidRPr="00D433B1" w:rsidRDefault="00E3384D" w:rsidP="00E3384D">
      <w:pPr>
        <w:pStyle w:val="FSCDraftingitemheading"/>
      </w:pPr>
      <w:r w:rsidRPr="00D433B1">
        <w:t>3</w:t>
      </w:r>
      <w:r w:rsidRPr="00D433B1">
        <w:tab/>
        <w:t>Commencement</w:t>
      </w:r>
    </w:p>
    <w:p w14:paraId="61D6FC99" w14:textId="77777777" w:rsidR="00E3384D" w:rsidRDefault="00E3384D" w:rsidP="00E3384D">
      <w:pPr>
        <w:pStyle w:val="FSCDraftingitem"/>
      </w:pPr>
      <w:r>
        <w:t>The variation commenc</w:t>
      </w:r>
      <w:r w:rsidRPr="000055C4">
        <w:t>e</w:t>
      </w:r>
      <w:r>
        <w:t>s</w:t>
      </w:r>
      <w:r w:rsidRPr="000055C4">
        <w:t xml:space="preserve"> on</w:t>
      </w:r>
      <w:r>
        <w:t xml:space="preserve"> the date of gazettal.</w:t>
      </w:r>
    </w:p>
    <w:p w14:paraId="0FA56482" w14:textId="77777777" w:rsidR="00E3384D" w:rsidRPr="00D433B1" w:rsidRDefault="00E3384D" w:rsidP="00E3384D">
      <w:pPr>
        <w:jc w:val="center"/>
        <w:rPr>
          <w:b/>
          <w:sz w:val="20"/>
        </w:rPr>
      </w:pPr>
      <w:r w:rsidRPr="00D433B1">
        <w:rPr>
          <w:b/>
          <w:sz w:val="20"/>
        </w:rPr>
        <w:t>Schedule</w:t>
      </w:r>
    </w:p>
    <w:p w14:paraId="570D8A6B" w14:textId="77777777" w:rsidR="00E3384D" w:rsidRDefault="00E3384D" w:rsidP="00E3384D">
      <w:pPr>
        <w:pStyle w:val="FSCDraftingitem"/>
      </w:pPr>
      <w:r w:rsidRPr="00DA14FC">
        <w:rPr>
          <w:b/>
          <w:lang w:bidi="en-US"/>
        </w:rPr>
        <w:t>[1]</w:t>
      </w:r>
      <w:r w:rsidRPr="00DA14FC">
        <w:rPr>
          <w:b/>
          <w:lang w:bidi="en-US"/>
        </w:rPr>
        <w:tab/>
        <w:t xml:space="preserve">Schedule </w:t>
      </w:r>
      <w:r w:rsidRPr="003929B5">
        <w:rPr>
          <w:b/>
          <w:lang w:bidi="en-US"/>
        </w:rPr>
        <w:t>18</w:t>
      </w:r>
      <w:r w:rsidRPr="00360C8F">
        <w:rPr>
          <w:lang w:bidi="en-US"/>
        </w:rPr>
        <w:t xml:space="preserve"> </w:t>
      </w:r>
      <w:r w:rsidRPr="00CC2E5B">
        <w:rPr>
          <w:lang w:bidi="en-US"/>
        </w:rPr>
        <w:t>is varied by</w:t>
      </w:r>
      <w:r w:rsidRPr="00DA14FC">
        <w:rPr>
          <w:color w:val="FF0000"/>
        </w:rPr>
        <w:t xml:space="preserve"> </w:t>
      </w:r>
      <w:r w:rsidRPr="002F01A6">
        <w:t>inserting into</w:t>
      </w:r>
      <w:r>
        <w:t xml:space="preserve"> the table to </w:t>
      </w:r>
      <w:r w:rsidRPr="00AF6F37">
        <w:t>subsection</w:t>
      </w:r>
      <w:r>
        <w:t xml:space="preserve"> S18—9(3) in alphabetical order</w:t>
      </w:r>
      <w:r w:rsidRPr="002F01A6">
        <w:t xml:space="preserve"> </w:t>
      </w:r>
    </w:p>
    <w:tbl>
      <w:tblPr>
        <w:tblW w:w="5000" w:type="pct"/>
        <w:tblLook w:val="04A0" w:firstRow="1" w:lastRow="0" w:firstColumn="1" w:lastColumn="0" w:noHBand="0" w:noVBand="1"/>
        <w:tblCaption w:val="Drafting for proposed variation to the Code"/>
      </w:tblPr>
      <w:tblGrid>
        <w:gridCol w:w="3414"/>
        <w:gridCol w:w="4169"/>
        <w:gridCol w:w="1487"/>
      </w:tblGrid>
      <w:tr w:rsidR="00E3384D" w:rsidRPr="000209A5" w14:paraId="4E6206A3" w14:textId="77777777" w:rsidTr="00E3384D">
        <w:trPr>
          <w:trHeight w:val="618"/>
        </w:trPr>
        <w:tc>
          <w:tcPr>
            <w:tcW w:w="1882" w:type="pct"/>
            <w:hideMark/>
          </w:tcPr>
          <w:p w14:paraId="3D8417BE" w14:textId="77777777" w:rsidR="00E3384D" w:rsidRPr="000209A5" w:rsidRDefault="00E3384D" w:rsidP="00E3384D">
            <w:pPr>
              <w:pStyle w:val="FSCtblMain"/>
            </w:pPr>
            <w:r>
              <w:t>Protein glutaminase</w:t>
            </w:r>
            <w:r w:rsidRPr="000209A5">
              <w:t xml:space="preserve"> (EC 3.</w:t>
            </w:r>
            <w:r>
              <w:t>5.1.44</w:t>
            </w:r>
            <w:r w:rsidRPr="000209A5">
              <w:t xml:space="preserve">) </w:t>
            </w:r>
            <w:r>
              <w:t xml:space="preserve">sourced from </w:t>
            </w:r>
            <w:r w:rsidRPr="004255B9">
              <w:rPr>
                <w:i/>
                <w:iCs/>
                <w:lang w:val="en-AU"/>
              </w:rPr>
              <w:t>Chryseobacterium proteolyticum</w:t>
            </w:r>
            <w:r>
              <w:rPr>
                <w:iCs/>
                <w:lang w:val="en-AU"/>
              </w:rPr>
              <w:t xml:space="preserve"> strain AE-PG</w:t>
            </w:r>
          </w:p>
        </w:tc>
        <w:tc>
          <w:tcPr>
            <w:tcW w:w="2298" w:type="pct"/>
            <w:hideMark/>
          </w:tcPr>
          <w:p w14:paraId="0F8FAAF2" w14:textId="77777777" w:rsidR="00E3384D" w:rsidRPr="00EB3ECA" w:rsidRDefault="00E3384D" w:rsidP="00E3384D">
            <w:pPr>
              <w:pStyle w:val="FSCtblMain"/>
            </w:pPr>
            <w:r w:rsidRPr="00EB3ECA">
              <w:t>To deamidate proteins during the manufacture and/or processing of the following types of food:</w:t>
            </w:r>
          </w:p>
          <w:p w14:paraId="159DAE01" w14:textId="77777777" w:rsidR="00E3384D" w:rsidRPr="00EB3ECA" w:rsidRDefault="00E3384D" w:rsidP="00E3384D">
            <w:pPr>
              <w:pStyle w:val="FSCtblMain"/>
            </w:pPr>
          </w:p>
          <w:p w14:paraId="5D2916A8" w14:textId="77777777" w:rsidR="00E3384D" w:rsidRPr="00EB3ECA" w:rsidRDefault="00E3384D" w:rsidP="00E3384D">
            <w:pPr>
              <w:pStyle w:val="FSCtblMain"/>
            </w:pPr>
            <w:r w:rsidRPr="00EB3ECA">
              <w:t>(a)  baked products;</w:t>
            </w:r>
          </w:p>
          <w:p w14:paraId="0C571103" w14:textId="77777777" w:rsidR="00E3384D" w:rsidRPr="00EB3ECA" w:rsidRDefault="00E3384D" w:rsidP="00E3384D">
            <w:pPr>
              <w:pStyle w:val="FSCtblMain"/>
            </w:pPr>
            <w:r w:rsidRPr="00EB3ECA">
              <w:t>(b)  pasta;</w:t>
            </w:r>
          </w:p>
          <w:p w14:paraId="03345BBD" w14:textId="77777777" w:rsidR="00E3384D" w:rsidRPr="00EB3ECA" w:rsidRDefault="00E3384D" w:rsidP="00E3384D">
            <w:pPr>
              <w:pStyle w:val="FSCtblMain"/>
            </w:pPr>
            <w:r w:rsidRPr="00EB3ECA">
              <w:t>(c)  noodles;</w:t>
            </w:r>
          </w:p>
          <w:p w14:paraId="0AB00541" w14:textId="77777777" w:rsidR="00E3384D" w:rsidRPr="00EB3ECA" w:rsidRDefault="00E3384D" w:rsidP="00E3384D">
            <w:pPr>
              <w:pStyle w:val="FSCtblMain"/>
            </w:pPr>
            <w:r w:rsidRPr="00EB3ECA">
              <w:t xml:space="preserve">(d)  milk; </w:t>
            </w:r>
          </w:p>
          <w:p w14:paraId="1DC64CCF" w14:textId="77777777" w:rsidR="00E3384D" w:rsidRPr="00EB3ECA" w:rsidRDefault="00E3384D" w:rsidP="00E3384D">
            <w:pPr>
              <w:pStyle w:val="FSCtblMain"/>
            </w:pPr>
            <w:r w:rsidRPr="00EB3ECA">
              <w:t>(e)  other dairy products;</w:t>
            </w:r>
          </w:p>
          <w:p w14:paraId="5B7D6287" w14:textId="77777777" w:rsidR="00E3384D" w:rsidRPr="00EB3ECA" w:rsidRDefault="00E3384D" w:rsidP="00E3384D">
            <w:pPr>
              <w:pStyle w:val="FSCtblMain"/>
            </w:pPr>
            <w:r w:rsidRPr="00EB3ECA">
              <w:t>(f)   meat;</w:t>
            </w:r>
          </w:p>
          <w:p w14:paraId="7439AE9E" w14:textId="77777777" w:rsidR="00E3384D" w:rsidRPr="00EB3ECA" w:rsidRDefault="00E3384D" w:rsidP="00E3384D">
            <w:pPr>
              <w:pStyle w:val="FSCtblMain"/>
            </w:pPr>
            <w:r w:rsidRPr="00EB3ECA">
              <w:t>(g)  fish;</w:t>
            </w:r>
          </w:p>
          <w:p w14:paraId="63ECD630" w14:textId="77777777" w:rsidR="00E3384D" w:rsidRPr="00EB3ECA" w:rsidRDefault="00E3384D" w:rsidP="00E3384D">
            <w:pPr>
              <w:pStyle w:val="FSCtblMain"/>
            </w:pPr>
            <w:r w:rsidRPr="00EB3ECA">
              <w:t>(h</w:t>
            </w:r>
            <w:r>
              <w:t>)  grains;</w:t>
            </w:r>
          </w:p>
          <w:p w14:paraId="0FE1D3C5" w14:textId="77777777" w:rsidR="00E3384D" w:rsidRDefault="00E3384D" w:rsidP="00E3384D">
            <w:pPr>
              <w:pStyle w:val="FSCtblMain"/>
            </w:pPr>
            <w:r w:rsidRPr="00EB3ECA">
              <w:t>(i)   yeast; and</w:t>
            </w:r>
          </w:p>
          <w:p w14:paraId="6585E85B" w14:textId="77777777" w:rsidR="00E3384D" w:rsidRPr="00EB3ECA" w:rsidRDefault="00E3384D" w:rsidP="00E3384D">
            <w:pPr>
              <w:pStyle w:val="FSCtblMain"/>
            </w:pPr>
            <w:r>
              <w:t>(j)   egg based products.</w:t>
            </w:r>
          </w:p>
          <w:p w14:paraId="5D2FE950" w14:textId="77777777" w:rsidR="00E3384D" w:rsidRPr="00EB3ECA" w:rsidRDefault="00E3384D" w:rsidP="00E3384D">
            <w:pPr>
              <w:pStyle w:val="FSCtblMain"/>
            </w:pPr>
          </w:p>
          <w:p w14:paraId="12167E61" w14:textId="77777777" w:rsidR="00E3384D" w:rsidRPr="00EB3ECA" w:rsidRDefault="00E3384D" w:rsidP="00E3384D">
            <w:pPr>
              <w:pStyle w:val="FSCtblMain"/>
            </w:pPr>
          </w:p>
        </w:tc>
        <w:tc>
          <w:tcPr>
            <w:tcW w:w="820" w:type="pct"/>
          </w:tcPr>
          <w:p w14:paraId="03FAFA53" w14:textId="77777777" w:rsidR="00E3384D" w:rsidRPr="00A01FD7" w:rsidRDefault="00E3384D" w:rsidP="00E3384D">
            <w:pPr>
              <w:pStyle w:val="FSCtblMain"/>
            </w:pPr>
            <w:r>
              <w:t>GMP</w:t>
            </w:r>
          </w:p>
        </w:tc>
      </w:tr>
    </w:tbl>
    <w:p w14:paraId="21A575CE" w14:textId="77777777" w:rsidR="00E3384D" w:rsidRDefault="00E3384D" w:rsidP="00E3384D">
      <w:pPr>
        <w:pStyle w:val="FSCDraftingitem"/>
        <w:ind w:left="567" w:hanging="567"/>
      </w:pPr>
    </w:p>
    <w:p w14:paraId="63A52A76" w14:textId="77777777" w:rsidR="00E3384D" w:rsidRDefault="00E3384D" w:rsidP="00E3384D">
      <w:pPr>
        <w:pStyle w:val="FSCDraftingitem"/>
        <w:ind w:left="567" w:hanging="567"/>
      </w:pPr>
    </w:p>
    <w:p w14:paraId="525AEDC6" w14:textId="77777777" w:rsidR="00E3384D" w:rsidRPr="00795D86" w:rsidRDefault="00E3384D" w:rsidP="00E3384D">
      <w:pPr>
        <w:rPr>
          <w:lang w:bidi="ar-SA"/>
        </w:rPr>
      </w:pPr>
    </w:p>
    <w:p w14:paraId="056096E8" w14:textId="77777777" w:rsidR="00E3384D" w:rsidRDefault="00E3384D" w:rsidP="00E3384D">
      <w:pPr>
        <w:rPr>
          <w:lang w:val="en-AU" w:eastAsia="en-GB" w:bidi="ar-SA"/>
        </w:rPr>
      </w:pPr>
      <w:r w:rsidRPr="00932F14">
        <w:br w:type="page"/>
      </w:r>
    </w:p>
    <w:p w14:paraId="6589EAD1" w14:textId="77777777" w:rsidR="00E3384D" w:rsidRDefault="00E3384D" w:rsidP="00E3384D">
      <w:pPr>
        <w:pStyle w:val="Heading2"/>
        <w:ind w:left="0" w:firstLine="0"/>
      </w:pPr>
      <w:bookmarkStart w:id="135" w:name="_Toc492455666"/>
      <w:bookmarkStart w:id="136" w:name="_Toc506902875"/>
      <w:r w:rsidRPr="00932F14">
        <w:lastRenderedPageBreak/>
        <w:t xml:space="preserve">Attachment </w:t>
      </w:r>
      <w:r>
        <w:t>B – Draft Explanatory Statement</w:t>
      </w:r>
      <w:bookmarkEnd w:id="135"/>
      <w:bookmarkEnd w:id="136"/>
    </w:p>
    <w:p w14:paraId="2B2C5829" w14:textId="40519FAD" w:rsidR="00E3384D" w:rsidRPr="00600BCA" w:rsidRDefault="00E3384D" w:rsidP="00D51698">
      <w:pPr>
        <w:pStyle w:val="FSCh4Div"/>
        <w:ind w:left="540" w:hanging="540"/>
      </w:pPr>
      <w:r w:rsidRPr="00600BCA">
        <w:t>1.</w:t>
      </w:r>
      <w:r w:rsidRPr="00600BCA">
        <w:tab/>
        <w:t>Authority</w:t>
      </w:r>
    </w:p>
    <w:p w14:paraId="5F3EDADC" w14:textId="77777777" w:rsidR="00E3384D" w:rsidRPr="00D13E34" w:rsidRDefault="00E3384D" w:rsidP="00E3384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95F0C15" w14:textId="77777777" w:rsidR="00E3384D" w:rsidRPr="00517386" w:rsidRDefault="00E3384D" w:rsidP="00E3384D">
      <w:pPr>
        <w:widowControl/>
        <w:autoSpaceDE w:val="0"/>
        <w:autoSpaceDN w:val="0"/>
        <w:adjustRightInd w:val="0"/>
        <w:rPr>
          <w:rFonts w:eastAsia="Calibri" w:cs="Arial"/>
          <w:bCs/>
          <w:szCs w:val="22"/>
          <w:lang w:val="en-AU" w:bidi="ar-SA"/>
        </w:rPr>
      </w:pPr>
    </w:p>
    <w:p w14:paraId="1E5F3329" w14:textId="77777777" w:rsidR="00E3384D" w:rsidRPr="00CC19A6" w:rsidRDefault="00E3384D" w:rsidP="00E3384D">
      <w:pPr>
        <w:widowControl/>
        <w:autoSpaceDE w:val="0"/>
        <w:autoSpaceDN w:val="0"/>
        <w:adjustRightInd w:val="0"/>
        <w:rPr>
          <w:rFonts w:eastAsia="Calibri" w:cs="Arial"/>
          <w:bCs/>
          <w:szCs w:val="22"/>
          <w:lang w:val="en-AU" w:bidi="ar-SA"/>
        </w:rPr>
      </w:pPr>
      <w:r w:rsidRPr="00CC19A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53A61D8" w14:textId="77777777" w:rsidR="00E3384D" w:rsidRPr="00CC19A6" w:rsidRDefault="00E3384D" w:rsidP="00E3384D">
      <w:pPr>
        <w:widowControl/>
        <w:autoSpaceDE w:val="0"/>
        <w:autoSpaceDN w:val="0"/>
        <w:adjustRightInd w:val="0"/>
        <w:rPr>
          <w:rFonts w:eastAsia="Calibri" w:cs="Arial"/>
          <w:bCs/>
          <w:szCs w:val="22"/>
          <w:lang w:val="en-AU" w:bidi="ar-SA"/>
        </w:rPr>
      </w:pPr>
    </w:p>
    <w:p w14:paraId="030737DC" w14:textId="1BC0027F" w:rsidR="00E3384D" w:rsidRDefault="00E3384D" w:rsidP="00E3384D">
      <w:pPr>
        <w:widowControl/>
        <w:autoSpaceDE w:val="0"/>
        <w:autoSpaceDN w:val="0"/>
        <w:adjustRightInd w:val="0"/>
        <w:rPr>
          <w:rFonts w:eastAsia="Calibri" w:cs="Arial"/>
          <w:bCs/>
          <w:szCs w:val="22"/>
          <w:lang w:val="en-AU" w:bidi="ar-SA"/>
        </w:rPr>
      </w:pPr>
      <w:r w:rsidRPr="00CC19A6">
        <w:rPr>
          <w:rFonts w:eastAsia="Calibri" w:cs="Arial"/>
          <w:bCs/>
          <w:szCs w:val="22"/>
          <w:lang w:val="en-AU" w:bidi="ar-SA"/>
        </w:rPr>
        <w:t>FSANZ accepted Application A1136</w:t>
      </w:r>
      <w:r w:rsidR="000F4383">
        <w:rPr>
          <w:rFonts w:eastAsia="Calibri" w:cs="Arial"/>
          <w:bCs/>
          <w:szCs w:val="22"/>
          <w:lang w:val="en-AU" w:bidi="ar-SA"/>
        </w:rPr>
        <w:t>. It sought</w:t>
      </w:r>
      <w:r w:rsidRPr="00CC19A6">
        <w:rPr>
          <w:rFonts w:eastAsia="Calibri" w:cs="Arial"/>
          <w:bCs/>
          <w:szCs w:val="22"/>
          <w:lang w:val="en-AU" w:bidi="ar-SA"/>
        </w:rPr>
        <w:t xml:space="preserve"> </w:t>
      </w:r>
      <w:r w:rsidR="000F4383">
        <w:rPr>
          <w:rFonts w:eastAsia="Calibri" w:cs="Arial"/>
          <w:bCs/>
          <w:szCs w:val="22"/>
          <w:lang w:val="en-AU" w:bidi="ar-SA"/>
        </w:rPr>
        <w:t>an amendment to the Code</w:t>
      </w:r>
      <w:r w:rsidR="00162775">
        <w:rPr>
          <w:rFonts w:eastAsia="Calibri" w:cs="Arial"/>
          <w:bCs/>
          <w:szCs w:val="22"/>
          <w:lang w:val="en-AU" w:bidi="ar-SA"/>
        </w:rPr>
        <w:t xml:space="preserve"> to</w:t>
      </w:r>
      <w:r w:rsidRPr="00CC19A6">
        <w:rPr>
          <w:rFonts w:eastAsia="Calibri" w:cs="Arial"/>
          <w:bCs/>
          <w:szCs w:val="22"/>
          <w:lang w:val="en-AU" w:bidi="ar-SA"/>
        </w:rPr>
        <w:t xml:space="preserve"> </w:t>
      </w:r>
      <w:r w:rsidR="000F4383">
        <w:rPr>
          <w:rFonts w:eastAsia="Calibri" w:cs="Arial"/>
          <w:bCs/>
          <w:szCs w:val="22"/>
          <w:lang w:val="en-AU" w:bidi="ar-SA"/>
        </w:rPr>
        <w:t xml:space="preserve">permit </w:t>
      </w:r>
      <w:r w:rsidRPr="00CC19A6">
        <w:rPr>
          <w:rFonts w:eastAsia="Calibri" w:cs="Arial"/>
          <w:bCs/>
          <w:szCs w:val="22"/>
          <w:lang w:val="en-AU" w:bidi="ar-SA"/>
        </w:rPr>
        <w:t>the use of protein</w:t>
      </w:r>
      <w:r w:rsidR="00CF32C6">
        <w:rPr>
          <w:rFonts w:eastAsia="Calibri" w:cs="Arial"/>
          <w:bCs/>
          <w:szCs w:val="22"/>
          <w:lang w:val="en-AU" w:bidi="ar-SA"/>
        </w:rPr>
        <w:t xml:space="preserve"> </w:t>
      </w:r>
      <w:r w:rsidRPr="00CC19A6">
        <w:rPr>
          <w:rFonts w:eastAsia="Calibri" w:cs="Arial"/>
          <w:bCs/>
          <w:szCs w:val="22"/>
          <w:lang w:val="en-AU" w:bidi="ar-SA"/>
        </w:rPr>
        <w:t xml:space="preserve">glutaminase from </w:t>
      </w:r>
      <w:r w:rsidR="009D3A00" w:rsidRPr="00CB5107">
        <w:rPr>
          <w:i/>
          <w:lang w:bidi="ar-SA"/>
        </w:rPr>
        <w:t>Chryseobacterium</w:t>
      </w:r>
      <w:r w:rsidR="009D3A00" w:rsidRPr="00A96706">
        <w:rPr>
          <w:rFonts w:eastAsia="Calibri" w:cs="Arial"/>
          <w:bCs/>
          <w:i/>
          <w:szCs w:val="22"/>
          <w:lang w:val="en-AU" w:bidi="ar-SA"/>
        </w:rPr>
        <w:t xml:space="preserve"> </w:t>
      </w:r>
      <w:r w:rsidR="009D3A00" w:rsidRPr="00CB5107">
        <w:rPr>
          <w:i/>
          <w:lang w:bidi="ar-SA"/>
        </w:rPr>
        <w:t>proteolyticum</w:t>
      </w:r>
      <w:r w:rsidR="009D3A00" w:rsidRPr="00A96706">
        <w:rPr>
          <w:rFonts w:eastAsia="Calibri" w:cs="Arial"/>
          <w:bCs/>
          <w:i/>
          <w:szCs w:val="22"/>
          <w:lang w:val="en-AU" w:bidi="ar-SA"/>
        </w:rPr>
        <w:t xml:space="preserve"> </w:t>
      </w:r>
      <w:r w:rsidR="009D3A00">
        <w:rPr>
          <w:rFonts w:eastAsia="Calibri" w:cs="Arial"/>
          <w:bCs/>
          <w:szCs w:val="22"/>
          <w:lang w:val="en-AU" w:bidi="ar-SA"/>
        </w:rPr>
        <w:t>(</w:t>
      </w:r>
      <w:r w:rsidRPr="00A96706">
        <w:rPr>
          <w:rFonts w:eastAsia="Calibri" w:cs="Arial"/>
          <w:bCs/>
          <w:i/>
          <w:szCs w:val="22"/>
          <w:lang w:val="en-AU" w:bidi="ar-SA"/>
        </w:rPr>
        <w:t>C</w:t>
      </w:r>
      <w:r>
        <w:rPr>
          <w:rFonts w:eastAsia="Calibri" w:cs="Arial"/>
          <w:bCs/>
          <w:i/>
          <w:szCs w:val="22"/>
          <w:lang w:val="en-AU" w:bidi="ar-SA"/>
        </w:rPr>
        <w:t>.</w:t>
      </w:r>
      <w:r w:rsidRPr="00A96706">
        <w:rPr>
          <w:rFonts w:eastAsia="Calibri" w:cs="Arial"/>
          <w:bCs/>
          <w:i/>
          <w:szCs w:val="22"/>
          <w:lang w:val="en-AU" w:bidi="ar-SA"/>
        </w:rPr>
        <w:t xml:space="preserve"> proteolyticum</w:t>
      </w:r>
      <w:r w:rsidR="00E15120">
        <w:rPr>
          <w:rFonts w:eastAsia="Calibri" w:cs="Arial"/>
          <w:bCs/>
          <w:szCs w:val="22"/>
          <w:lang w:val="en-AU" w:bidi="ar-SA"/>
        </w:rPr>
        <w:t>)</w:t>
      </w:r>
      <w:r w:rsidR="009D3A00">
        <w:rPr>
          <w:rFonts w:eastAsia="Calibri" w:cs="Arial"/>
          <w:bCs/>
          <w:szCs w:val="22"/>
          <w:lang w:val="en-AU" w:bidi="ar-SA"/>
        </w:rPr>
        <w:t xml:space="preserve"> </w:t>
      </w:r>
      <w:r w:rsidR="009D3A00">
        <w:rPr>
          <w:lang w:bidi="ar-SA"/>
        </w:rPr>
        <w:t xml:space="preserve">strain AE-PG </w:t>
      </w:r>
      <w:r w:rsidRPr="00CC19A6">
        <w:rPr>
          <w:rFonts w:eastAsia="Calibri" w:cs="Arial"/>
          <w:bCs/>
          <w:szCs w:val="22"/>
          <w:lang w:val="en-AU" w:bidi="ar-SA"/>
        </w:rPr>
        <w:t xml:space="preserve">as a processing aid to </w:t>
      </w:r>
      <w:r w:rsidRPr="00EB3ECA">
        <w:t xml:space="preserve">deamidate proteins during </w:t>
      </w:r>
      <w:r w:rsidR="00A36712" w:rsidRPr="00A36712">
        <w:t xml:space="preserve">the manufacture </w:t>
      </w:r>
      <w:r w:rsidR="007764E6" w:rsidRPr="007764E6">
        <w:t xml:space="preserve">and/or processing </w:t>
      </w:r>
      <w:r w:rsidR="00A36712" w:rsidRPr="00A36712">
        <w:t xml:space="preserve">of </w:t>
      </w:r>
      <w:r w:rsidR="00A36712" w:rsidRPr="00A36712">
        <w:rPr>
          <w:bCs/>
          <w:lang w:val="en-AU"/>
        </w:rPr>
        <w:t>baked products</w:t>
      </w:r>
      <w:r w:rsidR="00F77B5D">
        <w:rPr>
          <w:bCs/>
          <w:lang w:val="en-AU"/>
        </w:rPr>
        <w:t>,</w:t>
      </w:r>
      <w:r w:rsidR="00A36712" w:rsidRPr="00A36712">
        <w:rPr>
          <w:bCs/>
          <w:lang w:val="en-AU"/>
        </w:rPr>
        <w:t xml:space="preserve"> and pasta/noodle making, milk and dairy processing, meat and fish processing, grain processing, yeast products and egg based products. </w:t>
      </w:r>
      <w:r w:rsidRPr="00CC19A6">
        <w:rPr>
          <w:rFonts w:eastAsia="Calibri" w:cs="Arial"/>
          <w:bCs/>
          <w:szCs w:val="22"/>
          <w:lang w:val="en-AU" w:bidi="ar-SA"/>
        </w:rPr>
        <w:t xml:space="preserve">The Authority considered the Application in accordance with Division 1 of Part 3 and has prepared a draft </w:t>
      </w:r>
      <w:r>
        <w:rPr>
          <w:rFonts w:eastAsia="Calibri" w:cs="Arial"/>
          <w:bCs/>
          <w:szCs w:val="22"/>
          <w:lang w:val="en-AU" w:bidi="ar-SA"/>
        </w:rPr>
        <w:t>variation to the Code</w:t>
      </w:r>
      <w:r w:rsidRPr="00CC19A6">
        <w:rPr>
          <w:rFonts w:eastAsia="Calibri" w:cs="Arial"/>
          <w:bCs/>
          <w:szCs w:val="22"/>
          <w:lang w:val="en-AU" w:bidi="ar-SA"/>
        </w:rPr>
        <w:t xml:space="preserve">. </w:t>
      </w:r>
    </w:p>
    <w:p w14:paraId="04BA5D77" w14:textId="49FD0C27" w:rsidR="00E20EFD" w:rsidRDefault="00E20EFD" w:rsidP="00E3384D">
      <w:pPr>
        <w:widowControl/>
        <w:autoSpaceDE w:val="0"/>
        <w:autoSpaceDN w:val="0"/>
        <w:adjustRightInd w:val="0"/>
        <w:rPr>
          <w:rFonts w:eastAsia="Calibri" w:cs="Arial"/>
          <w:bCs/>
          <w:szCs w:val="22"/>
          <w:lang w:val="en-AU" w:bidi="ar-SA"/>
        </w:rPr>
      </w:pPr>
    </w:p>
    <w:p w14:paraId="6CDBC33C" w14:textId="179C426D" w:rsidR="00E20EFD" w:rsidRPr="00D13E34" w:rsidRDefault="00E20EFD" w:rsidP="00E20EF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45DDBB13" w14:textId="77777777" w:rsidR="00E20EFD" w:rsidRPr="00D13E34" w:rsidRDefault="00E20EFD" w:rsidP="00E20EFD">
      <w:pPr>
        <w:widowControl/>
        <w:autoSpaceDE w:val="0"/>
        <w:autoSpaceDN w:val="0"/>
        <w:adjustRightInd w:val="0"/>
        <w:rPr>
          <w:rFonts w:eastAsia="Calibri" w:cs="Arial"/>
          <w:bCs/>
          <w:szCs w:val="22"/>
          <w:lang w:val="en-AU" w:bidi="ar-SA"/>
        </w:rPr>
      </w:pPr>
    </w:p>
    <w:p w14:paraId="665E9F7E" w14:textId="2AEB0843" w:rsidR="00E20EFD" w:rsidRPr="00D13E34" w:rsidRDefault="00E20EFD" w:rsidP="00E20EF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6F6A74C" w14:textId="77777777" w:rsidR="00E3384D" w:rsidRPr="00D51698" w:rsidRDefault="00E3384D" w:rsidP="00D51698">
      <w:pPr>
        <w:pStyle w:val="FSCh4Div"/>
        <w:ind w:left="540" w:hanging="540"/>
        <w:rPr>
          <w:sz w:val="22"/>
          <w:szCs w:val="22"/>
        </w:rPr>
      </w:pPr>
      <w:r w:rsidRPr="00D51698">
        <w:t>2</w:t>
      </w:r>
      <w:r w:rsidRPr="00D51698">
        <w:rPr>
          <w:sz w:val="22"/>
          <w:szCs w:val="22"/>
        </w:rPr>
        <w:t>.</w:t>
      </w:r>
      <w:r w:rsidRPr="00D51698">
        <w:rPr>
          <w:sz w:val="22"/>
          <w:szCs w:val="22"/>
        </w:rPr>
        <w:tab/>
        <w:t xml:space="preserve">Purpose </w:t>
      </w:r>
    </w:p>
    <w:p w14:paraId="04166654" w14:textId="009B2C08" w:rsidR="00E3384D" w:rsidRPr="00825510" w:rsidRDefault="00E3384D" w:rsidP="00E3384D">
      <w:pPr>
        <w:rPr>
          <w:szCs w:val="22"/>
          <w:lang w:val="en-AU" w:eastAsia="en-GB" w:bidi="ar-SA"/>
        </w:rPr>
      </w:pPr>
      <w:r w:rsidRPr="00566CC9">
        <w:rPr>
          <w:lang w:val="en-AU" w:eastAsia="en-GB" w:bidi="ar-SA"/>
        </w:rPr>
        <w:t xml:space="preserve">The purpose of this </w:t>
      </w:r>
      <w:r w:rsidR="00BD2FCE">
        <w:rPr>
          <w:lang w:val="en-AU" w:eastAsia="en-GB" w:bidi="ar-SA"/>
        </w:rPr>
        <w:t>legislative instrument</w:t>
      </w:r>
      <w:r w:rsidR="00BD2FCE" w:rsidRPr="00566CC9">
        <w:rPr>
          <w:lang w:val="en-AU" w:eastAsia="en-GB" w:bidi="ar-SA"/>
        </w:rPr>
        <w:t xml:space="preserve"> </w:t>
      </w:r>
      <w:r w:rsidRPr="00566CC9">
        <w:rPr>
          <w:lang w:val="en-AU" w:eastAsia="en-GB" w:bidi="ar-SA"/>
        </w:rPr>
        <w:t xml:space="preserve">is </w:t>
      </w:r>
      <w:r>
        <w:rPr>
          <w:lang w:val="en-AU" w:eastAsia="en-GB" w:bidi="ar-SA"/>
        </w:rPr>
        <w:t xml:space="preserve">to </w:t>
      </w:r>
      <w:r w:rsidR="000F4383">
        <w:rPr>
          <w:lang w:val="en-AU" w:eastAsia="en-GB" w:bidi="ar-SA"/>
        </w:rPr>
        <w:t xml:space="preserve">amend the Code to </w:t>
      </w:r>
      <w:r>
        <w:rPr>
          <w:lang w:val="en-AU" w:eastAsia="en-GB" w:bidi="ar-SA"/>
        </w:rPr>
        <w:t>permit the use of the enzyme</w:t>
      </w:r>
      <w:r w:rsidR="006035AB">
        <w:rPr>
          <w:lang w:val="en-AU" w:eastAsia="en-GB" w:bidi="ar-SA"/>
        </w:rPr>
        <w:t>,</w:t>
      </w:r>
      <w:r>
        <w:rPr>
          <w:lang w:val="en-AU" w:eastAsia="en-GB" w:bidi="ar-SA"/>
        </w:rPr>
        <w:t xml:space="preserve"> </w:t>
      </w:r>
      <w:r>
        <w:rPr>
          <w:rFonts w:eastAsia="Calibri" w:cs="Arial"/>
          <w:bCs/>
          <w:szCs w:val="22"/>
          <w:lang w:bidi="ar-SA"/>
        </w:rPr>
        <w:t>protein glutaminase</w:t>
      </w:r>
      <w:r w:rsidR="00856A19">
        <w:rPr>
          <w:rFonts w:eastAsia="Calibri" w:cs="Arial"/>
          <w:bCs/>
          <w:szCs w:val="22"/>
          <w:lang w:bidi="ar-SA"/>
        </w:rPr>
        <w:t xml:space="preserve"> </w:t>
      </w:r>
      <w:r w:rsidR="00856A19" w:rsidRPr="000209A5">
        <w:t>(EC 3.</w:t>
      </w:r>
      <w:r w:rsidR="00856A19">
        <w:t>5.1.44</w:t>
      </w:r>
      <w:r w:rsidR="00856A19" w:rsidRPr="000209A5">
        <w:t xml:space="preserve">) </w:t>
      </w:r>
      <w:r>
        <w:rPr>
          <w:rFonts w:eastAsia="Calibri" w:cs="Arial"/>
          <w:bCs/>
          <w:szCs w:val="22"/>
          <w:lang w:bidi="ar-SA"/>
        </w:rPr>
        <w:t>sourced from</w:t>
      </w:r>
      <w:r w:rsidRPr="00BA353C">
        <w:rPr>
          <w:rFonts w:eastAsia="Calibri" w:cs="Arial"/>
          <w:bCs/>
          <w:szCs w:val="22"/>
          <w:lang w:bidi="ar-SA"/>
        </w:rPr>
        <w:t xml:space="preserve"> </w:t>
      </w:r>
      <w:r w:rsidRPr="00BA353C">
        <w:rPr>
          <w:rFonts w:eastAsia="Calibri" w:cs="Arial"/>
          <w:bCs/>
          <w:i/>
          <w:szCs w:val="22"/>
          <w:lang w:bidi="ar-SA"/>
        </w:rPr>
        <w:t>C</w:t>
      </w:r>
      <w:r>
        <w:rPr>
          <w:rFonts w:eastAsia="Calibri" w:cs="Arial"/>
          <w:bCs/>
          <w:i/>
          <w:szCs w:val="22"/>
          <w:lang w:bidi="ar-SA"/>
        </w:rPr>
        <w:t>.</w:t>
      </w:r>
      <w:r w:rsidRPr="005F0BFA">
        <w:rPr>
          <w:i/>
        </w:rPr>
        <w:t xml:space="preserve"> proteolyticum</w:t>
      </w:r>
      <w:r w:rsidRPr="00227576">
        <w:rPr>
          <w:lang w:bidi="ar-SA"/>
        </w:rPr>
        <w:t xml:space="preserve"> </w:t>
      </w:r>
      <w:r>
        <w:rPr>
          <w:lang w:bidi="ar-SA"/>
        </w:rPr>
        <w:t>strain AE-PG</w:t>
      </w:r>
      <w:r w:rsidRPr="00BA353C">
        <w:rPr>
          <w:rFonts w:eastAsia="Calibri" w:cs="Arial"/>
          <w:bCs/>
          <w:i/>
          <w:szCs w:val="22"/>
          <w:lang w:bidi="ar-SA"/>
        </w:rPr>
        <w:t xml:space="preserve"> </w:t>
      </w:r>
      <w:r w:rsidRPr="00BA353C">
        <w:rPr>
          <w:rFonts w:eastAsia="Calibri" w:cs="Arial"/>
          <w:bCs/>
          <w:szCs w:val="22"/>
          <w:lang w:bidi="ar-SA"/>
        </w:rPr>
        <w:t>as a processing aid</w:t>
      </w:r>
      <w:r>
        <w:rPr>
          <w:rFonts w:eastAsia="Calibri" w:cs="Arial"/>
          <w:bCs/>
          <w:szCs w:val="22"/>
          <w:lang w:bidi="ar-SA"/>
        </w:rPr>
        <w:t xml:space="preserve"> to </w:t>
      </w:r>
      <w:r w:rsidRPr="00EB3ECA">
        <w:t xml:space="preserve">deamidate proteins during the manufacture and/or processing </w:t>
      </w:r>
      <w:r>
        <w:t>of foods such as</w:t>
      </w:r>
      <w:r w:rsidRPr="00CC19A6">
        <w:rPr>
          <w:rFonts w:eastAsia="Calibri" w:cs="Arial"/>
          <w:bCs/>
          <w:szCs w:val="22"/>
          <w:lang w:val="en-AU" w:bidi="ar-SA"/>
        </w:rPr>
        <w:t xml:space="preserve"> bak</w:t>
      </w:r>
      <w:r>
        <w:rPr>
          <w:rFonts w:eastAsia="Calibri" w:cs="Arial"/>
          <w:bCs/>
          <w:szCs w:val="22"/>
          <w:lang w:val="en-AU" w:bidi="ar-SA"/>
        </w:rPr>
        <w:t>ed products</w:t>
      </w:r>
      <w:r w:rsidRPr="00CC19A6">
        <w:rPr>
          <w:rFonts w:eastAsia="Calibri" w:cs="Arial"/>
          <w:bCs/>
          <w:szCs w:val="22"/>
          <w:lang w:val="en-AU" w:bidi="ar-SA"/>
        </w:rPr>
        <w:t xml:space="preserve">, </w:t>
      </w:r>
      <w:r w:rsidR="001373F0">
        <w:rPr>
          <w:rFonts w:eastAsia="Calibri" w:cs="Arial"/>
          <w:bCs/>
          <w:szCs w:val="22"/>
          <w:lang w:val="en-AU" w:bidi="ar-SA"/>
        </w:rPr>
        <w:t xml:space="preserve">pasta, </w:t>
      </w:r>
      <w:r w:rsidRPr="00CC19A6">
        <w:rPr>
          <w:rFonts w:eastAsia="Calibri" w:cs="Arial"/>
          <w:bCs/>
          <w:szCs w:val="22"/>
          <w:lang w:val="en-AU" w:bidi="ar-SA"/>
        </w:rPr>
        <w:t>noodle</w:t>
      </w:r>
      <w:r>
        <w:rPr>
          <w:rFonts w:eastAsia="Calibri" w:cs="Arial"/>
          <w:bCs/>
          <w:szCs w:val="22"/>
          <w:lang w:val="en-AU" w:bidi="ar-SA"/>
        </w:rPr>
        <w:t>s</w:t>
      </w:r>
      <w:r w:rsidRPr="00CC19A6">
        <w:rPr>
          <w:rFonts w:eastAsia="Calibri" w:cs="Arial"/>
          <w:bCs/>
          <w:szCs w:val="22"/>
          <w:lang w:val="en-AU" w:bidi="ar-SA"/>
        </w:rPr>
        <w:t xml:space="preserve">, </w:t>
      </w:r>
      <w:r>
        <w:rPr>
          <w:rFonts w:eastAsia="Calibri" w:cs="Arial"/>
          <w:bCs/>
          <w:szCs w:val="22"/>
          <w:lang w:val="en-AU" w:bidi="ar-SA"/>
        </w:rPr>
        <w:t xml:space="preserve">milk, </w:t>
      </w:r>
      <w:r w:rsidR="001373F0">
        <w:rPr>
          <w:rFonts w:eastAsia="Calibri" w:cs="Arial"/>
          <w:bCs/>
          <w:szCs w:val="22"/>
          <w:lang w:val="en-AU" w:bidi="ar-SA"/>
        </w:rPr>
        <w:t xml:space="preserve">other </w:t>
      </w:r>
      <w:r w:rsidRPr="00CC19A6">
        <w:rPr>
          <w:rFonts w:eastAsia="Calibri" w:cs="Arial"/>
          <w:bCs/>
          <w:szCs w:val="22"/>
          <w:lang w:val="en-AU" w:bidi="ar-SA"/>
        </w:rPr>
        <w:t>dairy</w:t>
      </w:r>
      <w:r w:rsidR="001373F0">
        <w:rPr>
          <w:rFonts w:eastAsia="Calibri" w:cs="Arial"/>
          <w:bCs/>
          <w:szCs w:val="22"/>
          <w:lang w:val="en-AU" w:bidi="ar-SA"/>
        </w:rPr>
        <w:t xml:space="preserve"> products</w:t>
      </w:r>
      <w:r w:rsidRPr="00CC19A6">
        <w:rPr>
          <w:rFonts w:eastAsia="Calibri" w:cs="Arial"/>
          <w:bCs/>
          <w:szCs w:val="22"/>
          <w:lang w:val="en-AU" w:bidi="ar-SA"/>
        </w:rPr>
        <w:t>, meat, fish</w:t>
      </w:r>
      <w:r>
        <w:rPr>
          <w:rFonts w:eastAsia="Calibri" w:cs="Arial"/>
          <w:bCs/>
          <w:szCs w:val="22"/>
          <w:lang w:val="en-AU" w:bidi="ar-SA"/>
        </w:rPr>
        <w:t xml:space="preserve">, grains, </w:t>
      </w:r>
      <w:r w:rsidRPr="005F0BFA">
        <w:t>yeast</w:t>
      </w:r>
      <w:r w:rsidR="001373F0">
        <w:t>,</w:t>
      </w:r>
      <w:r w:rsidRPr="005F0BFA">
        <w:t xml:space="preserve"> </w:t>
      </w:r>
      <w:r>
        <w:t xml:space="preserve">and egg based </w:t>
      </w:r>
      <w:r w:rsidRPr="00466366">
        <w:t>products</w:t>
      </w:r>
      <w:r w:rsidRPr="00466366">
        <w:rPr>
          <w:rFonts w:eastAsia="Calibri" w:cs="Arial"/>
          <w:bCs/>
          <w:szCs w:val="22"/>
          <w:lang w:val="en-AU" w:bidi="ar-SA"/>
        </w:rPr>
        <w:t>. This requires an addition to the table to subsection S18—</w:t>
      </w:r>
      <w:r>
        <w:rPr>
          <w:rFonts w:eastAsia="Calibri" w:cs="Arial"/>
          <w:bCs/>
          <w:szCs w:val="22"/>
          <w:lang w:val="en-AU" w:bidi="ar-SA"/>
        </w:rPr>
        <w:t>9</w:t>
      </w:r>
      <w:r w:rsidRPr="00466366">
        <w:rPr>
          <w:rFonts w:eastAsia="Calibri" w:cs="Arial"/>
          <w:bCs/>
          <w:szCs w:val="22"/>
          <w:lang w:val="en-AU" w:bidi="ar-SA"/>
        </w:rPr>
        <w:t>(</w:t>
      </w:r>
      <w:r>
        <w:rPr>
          <w:rFonts w:eastAsia="Calibri" w:cs="Arial"/>
          <w:bCs/>
          <w:szCs w:val="22"/>
          <w:lang w:val="en-AU" w:bidi="ar-SA"/>
        </w:rPr>
        <w:t>3</w:t>
      </w:r>
      <w:r w:rsidRPr="00466366">
        <w:rPr>
          <w:rFonts w:eastAsia="Calibri" w:cs="Arial"/>
          <w:bCs/>
          <w:szCs w:val="22"/>
          <w:lang w:val="en-AU" w:bidi="ar-SA"/>
        </w:rPr>
        <w:t>) in Schedule 18.</w:t>
      </w:r>
    </w:p>
    <w:p w14:paraId="6A6046E8" w14:textId="77777777" w:rsidR="00E3384D" w:rsidRPr="00D51698" w:rsidRDefault="00E3384D" w:rsidP="00D51698">
      <w:pPr>
        <w:pStyle w:val="FSCh4Div"/>
        <w:ind w:left="540" w:hanging="540"/>
        <w:rPr>
          <w:sz w:val="22"/>
          <w:szCs w:val="22"/>
        </w:rPr>
      </w:pPr>
      <w:r w:rsidRPr="00D51698">
        <w:rPr>
          <w:sz w:val="22"/>
          <w:szCs w:val="22"/>
        </w:rPr>
        <w:t>3.</w:t>
      </w:r>
      <w:r w:rsidRPr="00D51698">
        <w:rPr>
          <w:sz w:val="22"/>
          <w:szCs w:val="22"/>
        </w:rPr>
        <w:tab/>
        <w:t>Documents incorporated by reference</w:t>
      </w:r>
    </w:p>
    <w:p w14:paraId="2D2FF555" w14:textId="045EC032" w:rsidR="00E3384D" w:rsidRDefault="00E3384D" w:rsidP="00D51698">
      <w:pPr>
        <w:widowControl/>
        <w:autoSpaceDE w:val="0"/>
        <w:autoSpaceDN w:val="0"/>
        <w:adjustRightInd w:val="0"/>
        <w:rPr>
          <w:lang w:val="en-AU" w:eastAsia="en-GB" w:bidi="ar-SA"/>
        </w:rPr>
      </w:pPr>
      <w:r w:rsidRPr="00D13E34">
        <w:rPr>
          <w:rFonts w:eastAsia="Calibri" w:cs="Arial"/>
          <w:bCs/>
          <w:szCs w:val="22"/>
          <w:lang w:val="en-AU" w:bidi="ar-SA"/>
        </w:rPr>
        <w:t>The variations to food regulatory measures do not incorporate any documents by reference.</w:t>
      </w:r>
    </w:p>
    <w:p w14:paraId="23E386F0" w14:textId="77777777" w:rsidR="00E3384D" w:rsidRPr="00D51698" w:rsidRDefault="00E3384D" w:rsidP="00D51698">
      <w:pPr>
        <w:pStyle w:val="FSCh4Div"/>
        <w:ind w:left="540" w:hanging="540"/>
        <w:rPr>
          <w:sz w:val="22"/>
          <w:szCs w:val="22"/>
        </w:rPr>
      </w:pPr>
      <w:r w:rsidRPr="00D51698">
        <w:rPr>
          <w:sz w:val="22"/>
          <w:szCs w:val="22"/>
        </w:rPr>
        <w:t>4.</w:t>
      </w:r>
      <w:r w:rsidRPr="00D51698">
        <w:rPr>
          <w:sz w:val="22"/>
          <w:szCs w:val="22"/>
        </w:rPr>
        <w:tab/>
        <w:t>Consultation</w:t>
      </w:r>
    </w:p>
    <w:p w14:paraId="5734DCD5" w14:textId="5BF4ED9F" w:rsidR="00E3384D" w:rsidRPr="0018555D" w:rsidRDefault="00E3384D" w:rsidP="00E3384D">
      <w:pPr>
        <w:rPr>
          <w:lang w:val="en-AU"/>
        </w:rPr>
      </w:pPr>
      <w:r w:rsidRPr="0018555D">
        <w:rPr>
          <w:szCs w:val="22"/>
        </w:rPr>
        <w:t xml:space="preserve">In accordance with the procedure in Division 1 of Part 3 of the FSANZ Act, </w:t>
      </w:r>
      <w:r w:rsidRPr="0018555D">
        <w:rPr>
          <w:rFonts w:eastAsia="Calibri" w:cs="Arial"/>
          <w:bCs/>
          <w:szCs w:val="22"/>
          <w:lang w:val="en-AU" w:bidi="ar-SA"/>
        </w:rPr>
        <w:t>the Authority</w:t>
      </w:r>
      <w:r w:rsidRPr="0018555D">
        <w:rPr>
          <w:szCs w:val="22"/>
        </w:rPr>
        <w:t>’s consideration of Application A1136 include</w:t>
      </w:r>
      <w:r w:rsidR="00D51698">
        <w:rPr>
          <w:szCs w:val="22"/>
        </w:rPr>
        <w:t>d</w:t>
      </w:r>
      <w:r w:rsidRPr="0018555D">
        <w:rPr>
          <w:szCs w:val="22"/>
        </w:rPr>
        <w:t xml:space="preserve"> one round of public consultation </w:t>
      </w:r>
      <w:r w:rsidR="00D51698" w:rsidRPr="0018555D">
        <w:rPr>
          <w:szCs w:val="22"/>
        </w:rPr>
        <w:t>follow</w:t>
      </w:r>
      <w:r w:rsidR="00D51698">
        <w:rPr>
          <w:szCs w:val="22"/>
        </w:rPr>
        <w:t>ed by</w:t>
      </w:r>
      <w:r w:rsidR="00D51698" w:rsidRPr="0018555D">
        <w:rPr>
          <w:szCs w:val="22"/>
        </w:rPr>
        <w:t xml:space="preserve"> </w:t>
      </w:r>
      <w:r w:rsidRPr="0018555D">
        <w:rPr>
          <w:szCs w:val="22"/>
        </w:rPr>
        <w:t xml:space="preserve">an assessment and the preparation of a draft </w:t>
      </w:r>
      <w:r w:rsidR="0040079C">
        <w:rPr>
          <w:szCs w:val="22"/>
        </w:rPr>
        <w:t>variation</w:t>
      </w:r>
      <w:r w:rsidR="0040079C" w:rsidRPr="0018555D">
        <w:rPr>
          <w:szCs w:val="22"/>
        </w:rPr>
        <w:t xml:space="preserve"> </w:t>
      </w:r>
      <w:r w:rsidRPr="0018555D">
        <w:rPr>
          <w:szCs w:val="22"/>
        </w:rPr>
        <w:t xml:space="preserve">and associated assessment summary. </w:t>
      </w:r>
    </w:p>
    <w:p w14:paraId="2208C4C7" w14:textId="77777777" w:rsidR="00E3384D" w:rsidRPr="00825510" w:rsidRDefault="00E3384D" w:rsidP="00E3384D">
      <w:pPr>
        <w:rPr>
          <w:rFonts w:eastAsia="Calibri"/>
          <w:lang w:val="en-AU" w:bidi="ar-SA"/>
        </w:rPr>
      </w:pPr>
    </w:p>
    <w:p w14:paraId="380FFF4E" w14:textId="1DCF8979" w:rsidR="00E3384D" w:rsidRDefault="00DA1B9D" w:rsidP="00D51698">
      <w:pPr>
        <w:rPr>
          <w:rFonts w:eastAsiaTheme="minorHAnsi" w:cs="Arial"/>
          <w:b/>
          <w:bCs/>
          <w:szCs w:val="22"/>
          <w:lang w:val="en-AU" w:bidi="ar-SA"/>
        </w:rPr>
      </w:pPr>
      <w:r w:rsidRPr="00825510">
        <w:rPr>
          <w:bCs/>
        </w:rPr>
        <w:t xml:space="preserve">The Office of Best Practice Regulation (OBPR) granted FSANZ a standing exemption from needing to develop a Regulatory Impact Statement for the approval of additional processing aids, in a letter dated 24 November 2010 (reference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58C2369D" w14:textId="77777777" w:rsidR="00E3384D" w:rsidRPr="00D51698" w:rsidRDefault="00E3384D" w:rsidP="00D51698">
      <w:pPr>
        <w:pStyle w:val="FSCh4Div"/>
        <w:ind w:left="540" w:hanging="540"/>
        <w:rPr>
          <w:sz w:val="22"/>
          <w:szCs w:val="22"/>
        </w:rPr>
      </w:pPr>
      <w:r w:rsidRPr="00D51698">
        <w:rPr>
          <w:sz w:val="22"/>
          <w:szCs w:val="22"/>
        </w:rPr>
        <w:lastRenderedPageBreak/>
        <w:t>5.</w:t>
      </w:r>
      <w:r w:rsidRPr="00D51698">
        <w:rPr>
          <w:sz w:val="22"/>
          <w:szCs w:val="22"/>
        </w:rPr>
        <w:tab/>
        <w:t>Statement of compatibility with human rights</w:t>
      </w:r>
    </w:p>
    <w:p w14:paraId="3CE9BF07" w14:textId="478BC287" w:rsidR="00E3384D" w:rsidRDefault="00E3384D" w:rsidP="00E3384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E524BED" w14:textId="77777777" w:rsidR="00E3384D" w:rsidRPr="00D51698" w:rsidRDefault="00E3384D" w:rsidP="00D51698">
      <w:pPr>
        <w:pStyle w:val="FSCh4Div"/>
        <w:ind w:left="540" w:hanging="540"/>
        <w:rPr>
          <w:sz w:val="22"/>
          <w:szCs w:val="22"/>
        </w:rPr>
      </w:pPr>
      <w:r w:rsidRPr="00D51698">
        <w:rPr>
          <w:sz w:val="22"/>
          <w:szCs w:val="22"/>
        </w:rPr>
        <w:t>6.</w:t>
      </w:r>
      <w:r w:rsidRPr="00D51698">
        <w:rPr>
          <w:sz w:val="22"/>
          <w:szCs w:val="22"/>
        </w:rPr>
        <w:tab/>
        <w:t>Variation</w:t>
      </w:r>
    </w:p>
    <w:p w14:paraId="2BD7A468" w14:textId="12070225" w:rsidR="00D93F29" w:rsidRDefault="00D93F29" w:rsidP="00755F02">
      <w:r>
        <w:t xml:space="preserve">Item [1] of the </w:t>
      </w:r>
      <w:r w:rsidR="00E3384D">
        <w:t xml:space="preserve">variation inserts a new entry into the table to subsection S18—9(3) in Schedule 18. </w:t>
      </w:r>
    </w:p>
    <w:p w14:paraId="29ACF88E" w14:textId="77777777" w:rsidR="00D93F29" w:rsidRDefault="00D93F29" w:rsidP="00755F02"/>
    <w:p w14:paraId="6355AE32" w14:textId="693C66D2" w:rsidR="002A6E2F" w:rsidRPr="002A6E2F" w:rsidRDefault="00E3384D" w:rsidP="002A6E2F">
      <w:pPr>
        <w:rPr>
          <w:lang w:eastAsia="en-GB" w:bidi="ar-SA"/>
        </w:rPr>
      </w:pPr>
      <w:r w:rsidRPr="0006177A">
        <w:t xml:space="preserve">The new entry </w:t>
      </w:r>
      <w:r w:rsidR="00E17C21">
        <w:t>will, in effect, permit</w:t>
      </w:r>
      <w:r w:rsidRPr="0006177A">
        <w:t xml:space="preserve"> </w:t>
      </w:r>
      <w:r>
        <w:rPr>
          <w:lang w:val="en-AU" w:eastAsia="en-GB" w:bidi="ar-SA"/>
        </w:rPr>
        <w:t xml:space="preserve">the enzyme, </w:t>
      </w:r>
      <w:r>
        <w:t>protein glutaminase</w:t>
      </w:r>
      <w:r>
        <w:rPr>
          <w:lang w:val="en-AU" w:eastAsia="en-GB" w:bidi="ar-SA"/>
        </w:rPr>
        <w:t xml:space="preserve"> (</w:t>
      </w:r>
      <w:r w:rsidRPr="00590981">
        <w:rPr>
          <w:lang w:val="en-AU"/>
        </w:rPr>
        <w:t>EC</w:t>
      </w:r>
      <w:r>
        <w:rPr>
          <w:lang w:val="en-AU"/>
        </w:rPr>
        <w:t xml:space="preserve"> number</w:t>
      </w:r>
      <w:r w:rsidRPr="00590981">
        <w:rPr>
          <w:lang w:val="en-AU"/>
        </w:rPr>
        <w:t xml:space="preserve"> 3.</w:t>
      </w:r>
      <w:r w:rsidR="00D93F29">
        <w:rPr>
          <w:lang w:val="en-AU"/>
        </w:rPr>
        <w:t>5.1.44</w:t>
      </w:r>
      <w:r>
        <w:rPr>
          <w:lang w:val="en-AU"/>
        </w:rPr>
        <w:t>)</w:t>
      </w:r>
      <w:r w:rsidRPr="00566CC9">
        <w:rPr>
          <w:lang w:val="en-AU" w:eastAsia="en-GB" w:bidi="ar-SA"/>
        </w:rPr>
        <w:t xml:space="preserve">, </w:t>
      </w:r>
      <w:r w:rsidR="00646BF4">
        <w:rPr>
          <w:lang w:val="en-AU"/>
        </w:rPr>
        <w:t xml:space="preserve">sourced </w:t>
      </w:r>
      <w:r>
        <w:rPr>
          <w:lang w:val="en-AU"/>
        </w:rPr>
        <w:t xml:space="preserve">from </w:t>
      </w:r>
      <w:r w:rsidRPr="00CB5107">
        <w:rPr>
          <w:i/>
          <w:lang w:bidi="ar-SA"/>
        </w:rPr>
        <w:t>C</w:t>
      </w:r>
      <w:r>
        <w:rPr>
          <w:i/>
          <w:lang w:bidi="ar-SA"/>
        </w:rPr>
        <w:t>.</w:t>
      </w:r>
      <w:r w:rsidRPr="00CB5107">
        <w:rPr>
          <w:i/>
          <w:lang w:bidi="ar-SA"/>
        </w:rPr>
        <w:t xml:space="preserve"> proteolyticum</w:t>
      </w:r>
      <w:r>
        <w:rPr>
          <w:i/>
          <w:lang w:bidi="ar-SA"/>
        </w:rPr>
        <w:t xml:space="preserve"> </w:t>
      </w:r>
      <w:r>
        <w:rPr>
          <w:lang w:bidi="ar-SA"/>
        </w:rPr>
        <w:t>strain AE-PG,</w:t>
      </w:r>
      <w:r>
        <w:rPr>
          <w:lang w:val="en-AU"/>
        </w:rPr>
        <w:t xml:space="preserve"> </w:t>
      </w:r>
      <w:r w:rsidR="00A01476">
        <w:rPr>
          <w:lang w:val="en-AU"/>
        </w:rPr>
        <w:t xml:space="preserve">to be used </w:t>
      </w:r>
      <w:r w:rsidRPr="00590981">
        <w:t>as a processing</w:t>
      </w:r>
      <w:r w:rsidRPr="00566CC9">
        <w:rPr>
          <w:lang w:val="en-AU" w:eastAsia="en-GB" w:bidi="ar-SA"/>
        </w:rPr>
        <w:t xml:space="preserve"> aid</w:t>
      </w:r>
      <w:r>
        <w:rPr>
          <w:lang w:val="en-AU" w:eastAsia="en-GB" w:bidi="ar-SA"/>
        </w:rPr>
        <w:t xml:space="preserve"> in food</w:t>
      </w:r>
      <w:r w:rsidR="00F35A7B">
        <w:rPr>
          <w:lang w:val="en-AU" w:eastAsia="en-GB" w:bidi="ar-SA"/>
        </w:rPr>
        <w:t xml:space="preserve"> </w:t>
      </w:r>
      <w:r>
        <w:rPr>
          <w:lang w:val="en-AU" w:eastAsia="en-GB" w:bidi="ar-SA"/>
        </w:rPr>
        <w:t xml:space="preserve">for the </w:t>
      </w:r>
      <w:r w:rsidR="002A6E2F">
        <w:rPr>
          <w:lang w:val="en-AU" w:eastAsia="en-GB" w:bidi="ar-SA"/>
        </w:rPr>
        <w:t>particular</w:t>
      </w:r>
      <w:r w:rsidR="00F35A7B">
        <w:rPr>
          <w:lang w:val="en-AU" w:eastAsia="en-GB" w:bidi="ar-SA"/>
        </w:rPr>
        <w:t xml:space="preserve"> </w:t>
      </w:r>
      <w:r>
        <w:rPr>
          <w:lang w:val="en-AU" w:eastAsia="en-GB" w:bidi="ar-SA"/>
        </w:rPr>
        <w:t>technological purpose</w:t>
      </w:r>
      <w:r w:rsidR="002A6E2F">
        <w:rPr>
          <w:lang w:val="en-AU" w:eastAsia="en-GB" w:bidi="ar-SA"/>
        </w:rPr>
        <w:t xml:space="preserve"> of </w:t>
      </w:r>
      <w:bookmarkStart w:id="137" w:name="_Toc11735637"/>
      <w:bookmarkStart w:id="138" w:name="_Toc29883122"/>
      <w:bookmarkStart w:id="139" w:name="_Toc41906809"/>
      <w:bookmarkStart w:id="140" w:name="_Toc41907556"/>
      <w:bookmarkStart w:id="141" w:name="_Toc120358587"/>
      <w:bookmarkStart w:id="142" w:name="_Toc175381446"/>
      <w:bookmarkStart w:id="143" w:name="_Toc175381454"/>
      <w:bookmarkEnd w:id="127"/>
      <w:bookmarkEnd w:id="128"/>
      <w:bookmarkEnd w:id="129"/>
      <w:bookmarkEnd w:id="130"/>
      <w:bookmarkEnd w:id="131"/>
      <w:bookmarkEnd w:id="132"/>
      <w:bookmarkEnd w:id="137"/>
      <w:bookmarkEnd w:id="138"/>
      <w:bookmarkEnd w:id="139"/>
      <w:bookmarkEnd w:id="140"/>
      <w:bookmarkEnd w:id="141"/>
      <w:bookmarkEnd w:id="142"/>
      <w:bookmarkEnd w:id="143"/>
      <w:r w:rsidR="002A6E2F" w:rsidRPr="002A6E2F">
        <w:rPr>
          <w:lang w:eastAsia="en-GB" w:bidi="ar-SA"/>
        </w:rPr>
        <w:t>deamidat</w:t>
      </w:r>
      <w:r w:rsidR="002A6E2F">
        <w:rPr>
          <w:lang w:eastAsia="en-GB" w:bidi="ar-SA"/>
        </w:rPr>
        <w:t>ing</w:t>
      </w:r>
      <w:r w:rsidR="002A6E2F" w:rsidRPr="002A6E2F">
        <w:rPr>
          <w:lang w:eastAsia="en-GB" w:bidi="ar-SA"/>
        </w:rPr>
        <w:t xml:space="preserve"> proteins during the manufacture and/or processing of the following types of food</w:t>
      </w:r>
      <w:r w:rsidR="000F4383">
        <w:rPr>
          <w:lang w:eastAsia="en-GB" w:bidi="ar-SA"/>
        </w:rPr>
        <w:t xml:space="preserve">, with the condition </w:t>
      </w:r>
      <w:r w:rsidR="000F4383">
        <w:rPr>
          <w:rFonts w:cs="Arial"/>
        </w:rPr>
        <w:t>that the amount that may be used must be consistent with good manufacturing practice</w:t>
      </w:r>
      <w:r w:rsidR="002A6E2F" w:rsidRPr="002A6E2F">
        <w:rPr>
          <w:lang w:eastAsia="en-GB" w:bidi="ar-SA"/>
        </w:rPr>
        <w:t>:</w:t>
      </w:r>
    </w:p>
    <w:p w14:paraId="6908B15E" w14:textId="77777777" w:rsidR="002A6E2F" w:rsidRPr="002A6E2F" w:rsidRDefault="002A6E2F" w:rsidP="002A6E2F">
      <w:pPr>
        <w:rPr>
          <w:lang w:eastAsia="en-GB" w:bidi="ar-SA"/>
        </w:rPr>
      </w:pPr>
    </w:p>
    <w:p w14:paraId="0D895F62" w14:textId="77777777" w:rsidR="002A6E2F" w:rsidRPr="002A6E2F" w:rsidRDefault="002A6E2F" w:rsidP="002A6E2F">
      <w:pPr>
        <w:rPr>
          <w:lang w:eastAsia="en-GB" w:bidi="ar-SA"/>
        </w:rPr>
      </w:pPr>
      <w:r w:rsidRPr="002A6E2F">
        <w:rPr>
          <w:lang w:eastAsia="en-GB" w:bidi="ar-SA"/>
        </w:rPr>
        <w:t>(a)  baked products;</w:t>
      </w:r>
    </w:p>
    <w:p w14:paraId="6A1CEC38" w14:textId="77777777" w:rsidR="002A6E2F" w:rsidRPr="002A6E2F" w:rsidRDefault="002A6E2F" w:rsidP="002A6E2F">
      <w:pPr>
        <w:rPr>
          <w:lang w:eastAsia="en-GB" w:bidi="ar-SA"/>
        </w:rPr>
      </w:pPr>
      <w:r w:rsidRPr="002A6E2F">
        <w:rPr>
          <w:lang w:eastAsia="en-GB" w:bidi="ar-SA"/>
        </w:rPr>
        <w:t>(b)  pasta;</w:t>
      </w:r>
    </w:p>
    <w:p w14:paraId="729F1454" w14:textId="77777777" w:rsidR="002A6E2F" w:rsidRPr="002A6E2F" w:rsidRDefault="002A6E2F" w:rsidP="002A6E2F">
      <w:pPr>
        <w:rPr>
          <w:lang w:eastAsia="en-GB" w:bidi="ar-SA"/>
        </w:rPr>
      </w:pPr>
      <w:r w:rsidRPr="002A6E2F">
        <w:rPr>
          <w:lang w:eastAsia="en-GB" w:bidi="ar-SA"/>
        </w:rPr>
        <w:t>(c)  noodles;</w:t>
      </w:r>
    </w:p>
    <w:p w14:paraId="5BDBE19C" w14:textId="77777777" w:rsidR="002A6E2F" w:rsidRPr="002A6E2F" w:rsidRDefault="002A6E2F" w:rsidP="002A6E2F">
      <w:pPr>
        <w:rPr>
          <w:lang w:eastAsia="en-GB" w:bidi="ar-SA"/>
        </w:rPr>
      </w:pPr>
      <w:r w:rsidRPr="002A6E2F">
        <w:rPr>
          <w:lang w:eastAsia="en-GB" w:bidi="ar-SA"/>
        </w:rPr>
        <w:t xml:space="preserve">(d)  milk; </w:t>
      </w:r>
    </w:p>
    <w:p w14:paraId="1D6B0AB2" w14:textId="77777777" w:rsidR="002A6E2F" w:rsidRPr="002A6E2F" w:rsidRDefault="002A6E2F" w:rsidP="002A6E2F">
      <w:pPr>
        <w:rPr>
          <w:lang w:eastAsia="en-GB" w:bidi="ar-SA"/>
        </w:rPr>
      </w:pPr>
      <w:r w:rsidRPr="002A6E2F">
        <w:rPr>
          <w:lang w:eastAsia="en-GB" w:bidi="ar-SA"/>
        </w:rPr>
        <w:t>(e)  other dairy products;</w:t>
      </w:r>
    </w:p>
    <w:p w14:paraId="2E860D28" w14:textId="77777777" w:rsidR="002A6E2F" w:rsidRPr="002A6E2F" w:rsidRDefault="002A6E2F" w:rsidP="002A6E2F">
      <w:pPr>
        <w:rPr>
          <w:lang w:eastAsia="en-GB" w:bidi="ar-SA"/>
        </w:rPr>
      </w:pPr>
      <w:r w:rsidRPr="002A6E2F">
        <w:rPr>
          <w:lang w:eastAsia="en-GB" w:bidi="ar-SA"/>
        </w:rPr>
        <w:t>(f)   meat;</w:t>
      </w:r>
    </w:p>
    <w:p w14:paraId="67B37DBD" w14:textId="77777777" w:rsidR="002A6E2F" w:rsidRPr="002A6E2F" w:rsidRDefault="002A6E2F" w:rsidP="002A6E2F">
      <w:pPr>
        <w:rPr>
          <w:lang w:eastAsia="en-GB" w:bidi="ar-SA"/>
        </w:rPr>
      </w:pPr>
      <w:r w:rsidRPr="002A6E2F">
        <w:rPr>
          <w:lang w:eastAsia="en-GB" w:bidi="ar-SA"/>
        </w:rPr>
        <w:t>(g)  fish;</w:t>
      </w:r>
    </w:p>
    <w:p w14:paraId="6BEB9D11" w14:textId="77777777" w:rsidR="002A6E2F" w:rsidRPr="002A6E2F" w:rsidRDefault="002A6E2F" w:rsidP="002A6E2F">
      <w:pPr>
        <w:rPr>
          <w:lang w:eastAsia="en-GB" w:bidi="ar-SA"/>
        </w:rPr>
      </w:pPr>
      <w:r w:rsidRPr="002A6E2F">
        <w:rPr>
          <w:lang w:eastAsia="en-GB" w:bidi="ar-SA"/>
        </w:rPr>
        <w:t>(h)  grains;</w:t>
      </w:r>
    </w:p>
    <w:p w14:paraId="48F5741C" w14:textId="77777777" w:rsidR="002A6E2F" w:rsidRPr="002A6E2F" w:rsidRDefault="002A6E2F" w:rsidP="002A6E2F">
      <w:pPr>
        <w:rPr>
          <w:lang w:eastAsia="en-GB" w:bidi="ar-SA"/>
        </w:rPr>
      </w:pPr>
      <w:r w:rsidRPr="002A6E2F">
        <w:rPr>
          <w:lang w:eastAsia="en-GB" w:bidi="ar-SA"/>
        </w:rPr>
        <w:t>(i)   yeast; and</w:t>
      </w:r>
    </w:p>
    <w:p w14:paraId="0B743569" w14:textId="77777777" w:rsidR="002A6E2F" w:rsidRPr="002A6E2F" w:rsidRDefault="002A6E2F" w:rsidP="002A6E2F">
      <w:pPr>
        <w:rPr>
          <w:lang w:eastAsia="en-GB" w:bidi="ar-SA"/>
        </w:rPr>
      </w:pPr>
      <w:r w:rsidRPr="002A6E2F">
        <w:rPr>
          <w:lang w:eastAsia="en-GB" w:bidi="ar-SA"/>
        </w:rPr>
        <w:t>(j)   egg based products.</w:t>
      </w:r>
    </w:p>
    <w:p w14:paraId="4610B118" w14:textId="78CC457E" w:rsidR="000F4383" w:rsidRDefault="000F4383" w:rsidP="00755F02">
      <w:pPr>
        <w:rPr>
          <w:rFonts w:cs="Arial"/>
        </w:rPr>
      </w:pPr>
      <w:r>
        <w:rPr>
          <w:rFonts w:cs="Arial"/>
        </w:rPr>
        <w:t xml:space="preserve"> </w:t>
      </w:r>
    </w:p>
    <w:p w14:paraId="376BD85F" w14:textId="3E52BADE" w:rsidR="0012388D" w:rsidRDefault="0012388D" w:rsidP="00755F02">
      <w:pPr>
        <w:rPr>
          <w:rFonts w:cs="Arial"/>
        </w:rPr>
      </w:pPr>
    </w:p>
    <w:sectPr w:rsidR="0012388D" w:rsidSect="00240EA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0994" w14:textId="77777777" w:rsidR="00FB69C6" w:rsidRDefault="00FB69C6">
      <w:r>
        <w:separator/>
      </w:r>
    </w:p>
    <w:p w14:paraId="553C3F0B" w14:textId="77777777" w:rsidR="00FB69C6" w:rsidRDefault="00FB69C6"/>
  </w:endnote>
  <w:endnote w:type="continuationSeparator" w:id="0">
    <w:p w14:paraId="7D97435C" w14:textId="77777777" w:rsidR="00FB69C6" w:rsidRDefault="00FB69C6">
      <w:r>
        <w:continuationSeparator/>
      </w:r>
    </w:p>
    <w:p w14:paraId="2F001DEE" w14:textId="77777777" w:rsidR="00FB69C6" w:rsidRDefault="00FB69C6"/>
  </w:endnote>
  <w:endnote w:type="continuationNotice" w:id="1">
    <w:p w14:paraId="4DEFDEBB" w14:textId="77777777" w:rsidR="00FB69C6" w:rsidRDefault="00FB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0B1F" w14:textId="59178210" w:rsidR="00FF66DA" w:rsidRDefault="00FF66DA" w:rsidP="000443FF">
    <w:pPr>
      <w:pStyle w:val="Footer"/>
      <w:jc w:val="center"/>
    </w:pPr>
  </w:p>
  <w:sdt>
    <w:sdtPr>
      <w:id w:val="1521349148"/>
      <w:docPartObj>
        <w:docPartGallery w:val="Page Numbers (Bottom of Page)"/>
        <w:docPartUnique/>
      </w:docPartObj>
    </w:sdtPr>
    <w:sdtEndPr>
      <w:rPr>
        <w:noProof/>
      </w:rPr>
    </w:sdtEndPr>
    <w:sdtContent>
      <w:p w14:paraId="04CEDF29" w14:textId="6F946A58" w:rsidR="00FB69C6" w:rsidRDefault="00FB69C6">
        <w:pPr>
          <w:pStyle w:val="Footer"/>
          <w:jc w:val="center"/>
        </w:pPr>
        <w:r>
          <w:fldChar w:fldCharType="begin"/>
        </w:r>
        <w:r>
          <w:instrText xml:space="preserve"> PAGE   \* MERGEFORMAT </w:instrText>
        </w:r>
        <w:r>
          <w:fldChar w:fldCharType="separate"/>
        </w:r>
        <w:r w:rsidR="0085574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6089" w14:textId="77777777" w:rsidR="00FB69C6" w:rsidRDefault="00FB69C6">
      <w:r>
        <w:separator/>
      </w:r>
    </w:p>
  </w:footnote>
  <w:footnote w:type="continuationSeparator" w:id="0">
    <w:p w14:paraId="2F76DBD1" w14:textId="77777777" w:rsidR="00FB69C6" w:rsidRDefault="00FB69C6">
      <w:r>
        <w:continuationSeparator/>
      </w:r>
    </w:p>
  </w:footnote>
  <w:footnote w:type="continuationNotice" w:id="1">
    <w:p w14:paraId="70459222" w14:textId="77777777" w:rsidR="00FB69C6" w:rsidRDefault="00FB69C6"/>
  </w:footnote>
  <w:footnote w:id="2">
    <w:p w14:paraId="586001CF" w14:textId="08B0805A" w:rsidR="00FB69C6" w:rsidRPr="00240EA1" w:rsidRDefault="00FB69C6">
      <w:pPr>
        <w:pStyle w:val="FootnoteText"/>
        <w:rPr>
          <w:lang w:val="en-AU"/>
        </w:rPr>
      </w:pPr>
      <w:r>
        <w:rPr>
          <w:rStyle w:val="FootnoteReference"/>
        </w:rPr>
        <w:footnoteRef/>
      </w:r>
      <w:r>
        <w:t xml:space="preserve"> </w:t>
      </w:r>
      <w:hyperlink r:id="rId1" w:history="1">
        <w:r>
          <w:rPr>
            <w:rStyle w:val="Hyperlink"/>
            <w:sz w:val="18"/>
            <w:szCs w:val="18"/>
          </w:rPr>
          <w:t>Application A1136</w:t>
        </w:r>
      </w:hyperlink>
      <w:r>
        <w:t xml:space="preserve"> </w:t>
      </w:r>
    </w:p>
  </w:footnote>
  <w:footnote w:id="3">
    <w:p w14:paraId="62D28F0A" w14:textId="6A585C7B" w:rsidR="00FB69C6" w:rsidRPr="00203E94" w:rsidRDefault="00FB69C6">
      <w:pPr>
        <w:pStyle w:val="FootnoteText"/>
        <w:rPr>
          <w:lang w:val="en-AU"/>
        </w:rPr>
      </w:pPr>
      <w:r>
        <w:rPr>
          <w:rStyle w:val="FootnoteReference"/>
        </w:rPr>
        <w:footnoteRef/>
      </w:r>
      <w:r>
        <w:t xml:space="preserve"> </w:t>
      </w:r>
      <w:r w:rsidRPr="00203E94">
        <w:rPr>
          <w:bCs/>
          <w:sz w:val="18"/>
          <w:szCs w:val="18"/>
          <w:lang w:val="en-AU"/>
        </w:rPr>
        <w:t>Deamidation</w:t>
      </w:r>
      <w:r w:rsidRPr="00203E94">
        <w:rPr>
          <w:sz w:val="18"/>
          <w:szCs w:val="18"/>
          <w:lang w:val="en-AU"/>
        </w:rPr>
        <w:t xml:space="preserve"> is a chemical reaction in which an amide functional group in the side chain of the amino acids asparagine or glutamine is removed or converted to another functional group</w:t>
      </w:r>
      <w:r>
        <w:rPr>
          <w:sz w:val="18"/>
          <w:szCs w:val="18"/>
          <w:lang w:val="en-AU"/>
        </w:rPr>
        <w:t>.</w:t>
      </w:r>
    </w:p>
  </w:footnote>
  <w:footnote w:id="4">
    <w:p w14:paraId="7B5B5496" w14:textId="77777777" w:rsidR="00FB69C6" w:rsidRDefault="00FB69C6" w:rsidP="00362882">
      <w:r w:rsidRPr="00C31BE8">
        <w:rPr>
          <w:rStyle w:val="FootnoteReference"/>
          <w:sz w:val="18"/>
          <w:szCs w:val="18"/>
        </w:rPr>
        <w:footnoteRef/>
      </w:r>
      <w:r w:rsidRPr="00C31BE8">
        <w:rPr>
          <w:sz w:val="18"/>
          <w:szCs w:val="18"/>
        </w:rPr>
        <w:t xml:space="preserve"> </w:t>
      </w:r>
      <w:r w:rsidRPr="00C31BE8">
        <w:rPr>
          <w:sz w:val="18"/>
          <w:szCs w:val="18"/>
          <w:lang w:val="en-AU"/>
        </w:rPr>
        <w:t xml:space="preserve">Copy available upon request to </w:t>
      </w:r>
      <w:hyperlink r:id="rId2" w:history="1">
        <w:r w:rsidRPr="00BB0660">
          <w:rPr>
            <w:rStyle w:val="Hyperlink"/>
            <w:sz w:val="18"/>
            <w:szCs w:val="18"/>
            <w:lang w:val="en-AU"/>
          </w:rPr>
          <w:t>standards.management@foodstandards.gov.au</w:t>
        </w:r>
      </w:hyperlink>
    </w:p>
    <w:p w14:paraId="79C8F58D" w14:textId="77777777" w:rsidR="00FB69C6" w:rsidRPr="00C31BE8" w:rsidRDefault="00FB69C6" w:rsidP="00362882">
      <w:pPr>
        <w:pStyle w:val="FootnoteText"/>
        <w:rPr>
          <w:sz w:val="18"/>
          <w:szCs w:val="18"/>
          <w:lang w:val="en-AU"/>
        </w:rPr>
      </w:pPr>
    </w:p>
  </w:footnote>
  <w:footnote w:id="5">
    <w:p w14:paraId="448405E8" w14:textId="1CD32B62" w:rsidR="00FB69C6" w:rsidRPr="00277164" w:rsidRDefault="00FB69C6" w:rsidP="00D05D80">
      <w:pPr>
        <w:pStyle w:val="FootnoteText"/>
        <w:rPr>
          <w:lang w:val="en-AU"/>
        </w:rPr>
      </w:pPr>
      <w:r>
        <w:rPr>
          <w:rStyle w:val="FootnoteReference"/>
        </w:rPr>
        <w:footnoteRef/>
      </w:r>
      <w:r>
        <w:t xml:space="preserve"> </w:t>
      </w:r>
      <w:hyperlink r:id="rId3" w:history="1">
        <w:r>
          <w:rPr>
            <w:rStyle w:val="Hyperlink"/>
            <w:sz w:val="18"/>
            <w:szCs w:val="18"/>
          </w:rPr>
          <w:t>Policy Guidelines</w:t>
        </w:r>
      </w:hyperlink>
      <w:r>
        <w:rPr>
          <w:rStyle w:val="Hyperlink"/>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DE00" w14:textId="431B3E5D" w:rsidR="00FB69C6" w:rsidRPr="000443FF" w:rsidRDefault="00FB69C6" w:rsidP="000443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5F22969"/>
    <w:multiLevelType w:val="hybridMultilevel"/>
    <w:tmpl w:val="DC10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4"/>
  </w:num>
  <w:num w:numId="24">
    <w:abstractNumId w:val="16"/>
  </w:num>
  <w:num w:numId="25">
    <w:abstractNumId w:val="35"/>
  </w:num>
  <w:num w:numId="26">
    <w:abstractNumId w:val="35"/>
  </w:num>
  <w:num w:numId="27">
    <w:abstractNumId w:val="25"/>
  </w:num>
  <w:num w:numId="28">
    <w:abstractNumId w:val="30"/>
  </w:num>
  <w:num w:numId="29">
    <w:abstractNumId w:val="31"/>
  </w:num>
  <w:num w:numId="30">
    <w:abstractNumId w:val="20"/>
  </w:num>
  <w:num w:numId="31">
    <w:abstractNumId w:val="18"/>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0"/>
  </w:num>
  <w:num w:numId="39">
    <w:abstractNumId w:val="19"/>
  </w:num>
  <w:num w:numId="40">
    <w:abstractNumId w:val="32"/>
  </w:num>
  <w:num w:numId="41">
    <w:abstractNumId w:val="12"/>
  </w:num>
  <w:num w:numId="42">
    <w:abstractNumId w:val="34"/>
  </w:num>
  <w:num w:numId="43">
    <w:abstractNumId w:val="17"/>
  </w:num>
  <w:num w:numId="44">
    <w:abstractNumId w:val="23"/>
  </w:num>
  <w:num w:numId="45">
    <w:abstractNumId w:val="21"/>
  </w:num>
  <w:num w:numId="46">
    <w:abstractNumId w:val="10"/>
  </w:num>
  <w:num w:numId="47">
    <w:abstractNumId w:val="22"/>
  </w:num>
  <w:num w:numId="48">
    <w:abstractNumId w:val="3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9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37"/>
    <w:rsid w:val="0000469B"/>
    <w:rsid w:val="0000481D"/>
    <w:rsid w:val="00007F6D"/>
    <w:rsid w:val="00010E79"/>
    <w:rsid w:val="00011187"/>
    <w:rsid w:val="00014577"/>
    <w:rsid w:val="00014E34"/>
    <w:rsid w:val="00017C5B"/>
    <w:rsid w:val="000220A6"/>
    <w:rsid w:val="00032409"/>
    <w:rsid w:val="000332AB"/>
    <w:rsid w:val="000332AE"/>
    <w:rsid w:val="0003491D"/>
    <w:rsid w:val="00035FF3"/>
    <w:rsid w:val="0003669A"/>
    <w:rsid w:val="000418F0"/>
    <w:rsid w:val="000443FF"/>
    <w:rsid w:val="000454E0"/>
    <w:rsid w:val="00051021"/>
    <w:rsid w:val="000524F0"/>
    <w:rsid w:val="00052D54"/>
    <w:rsid w:val="00053195"/>
    <w:rsid w:val="00054A36"/>
    <w:rsid w:val="000576EB"/>
    <w:rsid w:val="00064B2D"/>
    <w:rsid w:val="00065F1F"/>
    <w:rsid w:val="000735C1"/>
    <w:rsid w:val="000759FC"/>
    <w:rsid w:val="00076D33"/>
    <w:rsid w:val="00076D3B"/>
    <w:rsid w:val="00077859"/>
    <w:rsid w:val="00077AEA"/>
    <w:rsid w:val="000809D5"/>
    <w:rsid w:val="00081B0A"/>
    <w:rsid w:val="0008305B"/>
    <w:rsid w:val="000A0E8D"/>
    <w:rsid w:val="000A3D8B"/>
    <w:rsid w:val="000A7D49"/>
    <w:rsid w:val="000B1F10"/>
    <w:rsid w:val="000B427A"/>
    <w:rsid w:val="000B6AF2"/>
    <w:rsid w:val="000C6A4A"/>
    <w:rsid w:val="000D077E"/>
    <w:rsid w:val="000D0FEE"/>
    <w:rsid w:val="000D694D"/>
    <w:rsid w:val="000D6FD4"/>
    <w:rsid w:val="000D7513"/>
    <w:rsid w:val="000D7B1C"/>
    <w:rsid w:val="000E0AE4"/>
    <w:rsid w:val="000E0C7C"/>
    <w:rsid w:val="000E1EA4"/>
    <w:rsid w:val="000E2BAA"/>
    <w:rsid w:val="000E316D"/>
    <w:rsid w:val="000E3DBC"/>
    <w:rsid w:val="000E6568"/>
    <w:rsid w:val="000E662F"/>
    <w:rsid w:val="000E71A0"/>
    <w:rsid w:val="000F1EEA"/>
    <w:rsid w:val="000F3CFE"/>
    <w:rsid w:val="000F4383"/>
    <w:rsid w:val="000F6568"/>
    <w:rsid w:val="00102819"/>
    <w:rsid w:val="00104544"/>
    <w:rsid w:val="001056DB"/>
    <w:rsid w:val="0010778D"/>
    <w:rsid w:val="00107C59"/>
    <w:rsid w:val="001122EC"/>
    <w:rsid w:val="00114958"/>
    <w:rsid w:val="00115DF7"/>
    <w:rsid w:val="001217AA"/>
    <w:rsid w:val="0012388D"/>
    <w:rsid w:val="00123C87"/>
    <w:rsid w:val="00124ADA"/>
    <w:rsid w:val="00131A5A"/>
    <w:rsid w:val="00132033"/>
    <w:rsid w:val="00135138"/>
    <w:rsid w:val="00136B57"/>
    <w:rsid w:val="001373F0"/>
    <w:rsid w:val="001436D4"/>
    <w:rsid w:val="00145712"/>
    <w:rsid w:val="001507F5"/>
    <w:rsid w:val="00150B54"/>
    <w:rsid w:val="00151316"/>
    <w:rsid w:val="0015187A"/>
    <w:rsid w:val="0015218B"/>
    <w:rsid w:val="00156B92"/>
    <w:rsid w:val="00162775"/>
    <w:rsid w:val="001661B8"/>
    <w:rsid w:val="00182C4C"/>
    <w:rsid w:val="00186868"/>
    <w:rsid w:val="001878C5"/>
    <w:rsid w:val="0019399D"/>
    <w:rsid w:val="00195D13"/>
    <w:rsid w:val="00197D8D"/>
    <w:rsid w:val="001A1A75"/>
    <w:rsid w:val="001A6458"/>
    <w:rsid w:val="001A755B"/>
    <w:rsid w:val="001A7E9A"/>
    <w:rsid w:val="001B5CF8"/>
    <w:rsid w:val="001B681C"/>
    <w:rsid w:val="001C1487"/>
    <w:rsid w:val="001C27A3"/>
    <w:rsid w:val="001C47BE"/>
    <w:rsid w:val="001C481A"/>
    <w:rsid w:val="001D43F6"/>
    <w:rsid w:val="001E09FA"/>
    <w:rsid w:val="001E4EB6"/>
    <w:rsid w:val="001E6FD4"/>
    <w:rsid w:val="001F2A0D"/>
    <w:rsid w:val="001F7F63"/>
    <w:rsid w:val="00201DD7"/>
    <w:rsid w:val="00202379"/>
    <w:rsid w:val="00202A6F"/>
    <w:rsid w:val="00203E94"/>
    <w:rsid w:val="00216811"/>
    <w:rsid w:val="0022197C"/>
    <w:rsid w:val="00221D07"/>
    <w:rsid w:val="00224E3B"/>
    <w:rsid w:val="00227E4A"/>
    <w:rsid w:val="0023137F"/>
    <w:rsid w:val="002368B1"/>
    <w:rsid w:val="00240EA1"/>
    <w:rsid w:val="002421C1"/>
    <w:rsid w:val="00242213"/>
    <w:rsid w:val="002440D2"/>
    <w:rsid w:val="00244104"/>
    <w:rsid w:val="00250197"/>
    <w:rsid w:val="00256566"/>
    <w:rsid w:val="00262604"/>
    <w:rsid w:val="0026387E"/>
    <w:rsid w:val="00266197"/>
    <w:rsid w:val="002669A9"/>
    <w:rsid w:val="002758A0"/>
    <w:rsid w:val="00284AC4"/>
    <w:rsid w:val="00285606"/>
    <w:rsid w:val="0029204E"/>
    <w:rsid w:val="00292B9B"/>
    <w:rsid w:val="002A0194"/>
    <w:rsid w:val="002A1F64"/>
    <w:rsid w:val="002A5F8B"/>
    <w:rsid w:val="002A6E2F"/>
    <w:rsid w:val="002A7AAC"/>
    <w:rsid w:val="002A7F6C"/>
    <w:rsid w:val="002B0071"/>
    <w:rsid w:val="002B460F"/>
    <w:rsid w:val="002C1A3B"/>
    <w:rsid w:val="002C4FFE"/>
    <w:rsid w:val="002D0A6A"/>
    <w:rsid w:val="002D129A"/>
    <w:rsid w:val="002D1CF2"/>
    <w:rsid w:val="002E16D5"/>
    <w:rsid w:val="002E1820"/>
    <w:rsid w:val="002E2A2F"/>
    <w:rsid w:val="002E4AE5"/>
    <w:rsid w:val="002E5A41"/>
    <w:rsid w:val="002F35A5"/>
    <w:rsid w:val="002F35EA"/>
    <w:rsid w:val="002F55D7"/>
    <w:rsid w:val="002F6488"/>
    <w:rsid w:val="002F7C68"/>
    <w:rsid w:val="00300C6E"/>
    <w:rsid w:val="0030164F"/>
    <w:rsid w:val="003028D2"/>
    <w:rsid w:val="00305C54"/>
    <w:rsid w:val="0031016C"/>
    <w:rsid w:val="00312B4C"/>
    <w:rsid w:val="0031426B"/>
    <w:rsid w:val="003172BB"/>
    <w:rsid w:val="003177D1"/>
    <w:rsid w:val="00320D38"/>
    <w:rsid w:val="003213F9"/>
    <w:rsid w:val="0032188F"/>
    <w:rsid w:val="00323AB6"/>
    <w:rsid w:val="00323DBF"/>
    <w:rsid w:val="00327867"/>
    <w:rsid w:val="00332B12"/>
    <w:rsid w:val="003362A9"/>
    <w:rsid w:val="00337CBC"/>
    <w:rsid w:val="00342068"/>
    <w:rsid w:val="00342740"/>
    <w:rsid w:val="003428FC"/>
    <w:rsid w:val="00344D6D"/>
    <w:rsid w:val="00346622"/>
    <w:rsid w:val="0035024B"/>
    <w:rsid w:val="003502F3"/>
    <w:rsid w:val="003507DB"/>
    <w:rsid w:val="00351B07"/>
    <w:rsid w:val="00353769"/>
    <w:rsid w:val="00354E1A"/>
    <w:rsid w:val="00362882"/>
    <w:rsid w:val="0036533D"/>
    <w:rsid w:val="00371B29"/>
    <w:rsid w:val="003766F8"/>
    <w:rsid w:val="00380106"/>
    <w:rsid w:val="003808CE"/>
    <w:rsid w:val="003814F0"/>
    <w:rsid w:val="00381E07"/>
    <w:rsid w:val="00385788"/>
    <w:rsid w:val="00386D0C"/>
    <w:rsid w:val="00386F8F"/>
    <w:rsid w:val="00391769"/>
    <w:rsid w:val="00394FB2"/>
    <w:rsid w:val="003953E1"/>
    <w:rsid w:val="003956B3"/>
    <w:rsid w:val="003A0A4D"/>
    <w:rsid w:val="003A172E"/>
    <w:rsid w:val="003A3D30"/>
    <w:rsid w:val="003A4F2B"/>
    <w:rsid w:val="003A68BE"/>
    <w:rsid w:val="003A6E97"/>
    <w:rsid w:val="003A7B84"/>
    <w:rsid w:val="003B1104"/>
    <w:rsid w:val="003B51FB"/>
    <w:rsid w:val="003C4849"/>
    <w:rsid w:val="003C4969"/>
    <w:rsid w:val="003D2CDC"/>
    <w:rsid w:val="003D53FC"/>
    <w:rsid w:val="003E2A6A"/>
    <w:rsid w:val="003E41D5"/>
    <w:rsid w:val="003E46BA"/>
    <w:rsid w:val="003E4AF0"/>
    <w:rsid w:val="003F1389"/>
    <w:rsid w:val="003F266F"/>
    <w:rsid w:val="003F5ED2"/>
    <w:rsid w:val="003F6248"/>
    <w:rsid w:val="003F74C1"/>
    <w:rsid w:val="0040079C"/>
    <w:rsid w:val="00401ADE"/>
    <w:rsid w:val="004035EC"/>
    <w:rsid w:val="00404C69"/>
    <w:rsid w:val="00405B1A"/>
    <w:rsid w:val="00410C76"/>
    <w:rsid w:val="00411907"/>
    <w:rsid w:val="00417EE3"/>
    <w:rsid w:val="004207EB"/>
    <w:rsid w:val="00421730"/>
    <w:rsid w:val="00422EC9"/>
    <w:rsid w:val="00423AC7"/>
    <w:rsid w:val="00424D1F"/>
    <w:rsid w:val="00432A42"/>
    <w:rsid w:val="00433DAE"/>
    <w:rsid w:val="00437276"/>
    <w:rsid w:val="00437A89"/>
    <w:rsid w:val="00450DEC"/>
    <w:rsid w:val="00452DDC"/>
    <w:rsid w:val="00453646"/>
    <w:rsid w:val="00456954"/>
    <w:rsid w:val="00456B54"/>
    <w:rsid w:val="00456BD5"/>
    <w:rsid w:val="004616C4"/>
    <w:rsid w:val="00464643"/>
    <w:rsid w:val="00465D47"/>
    <w:rsid w:val="004672C1"/>
    <w:rsid w:val="00470220"/>
    <w:rsid w:val="00470B1C"/>
    <w:rsid w:val="00477772"/>
    <w:rsid w:val="00480047"/>
    <w:rsid w:val="00482114"/>
    <w:rsid w:val="004823F1"/>
    <w:rsid w:val="00486793"/>
    <w:rsid w:val="00486C66"/>
    <w:rsid w:val="004930B5"/>
    <w:rsid w:val="004931B7"/>
    <w:rsid w:val="004941B5"/>
    <w:rsid w:val="00494A3F"/>
    <w:rsid w:val="004A08FF"/>
    <w:rsid w:val="004A151D"/>
    <w:rsid w:val="004A1ED0"/>
    <w:rsid w:val="004A2037"/>
    <w:rsid w:val="004A3F5B"/>
    <w:rsid w:val="004A4270"/>
    <w:rsid w:val="004A6AFA"/>
    <w:rsid w:val="004A793C"/>
    <w:rsid w:val="004B047B"/>
    <w:rsid w:val="004B0AD1"/>
    <w:rsid w:val="004B4CDC"/>
    <w:rsid w:val="004B5CFD"/>
    <w:rsid w:val="004B6FC8"/>
    <w:rsid w:val="004B741B"/>
    <w:rsid w:val="004C65B1"/>
    <w:rsid w:val="004D121E"/>
    <w:rsid w:val="004D1914"/>
    <w:rsid w:val="004D1B1C"/>
    <w:rsid w:val="004D1E5C"/>
    <w:rsid w:val="004E4BB5"/>
    <w:rsid w:val="004F2C2D"/>
    <w:rsid w:val="004F3807"/>
    <w:rsid w:val="004F4F98"/>
    <w:rsid w:val="004F6019"/>
    <w:rsid w:val="004F69F6"/>
    <w:rsid w:val="004F79AC"/>
    <w:rsid w:val="005001CF"/>
    <w:rsid w:val="00503C95"/>
    <w:rsid w:val="00506E9B"/>
    <w:rsid w:val="005072E9"/>
    <w:rsid w:val="005207D8"/>
    <w:rsid w:val="005217B4"/>
    <w:rsid w:val="00523930"/>
    <w:rsid w:val="00523C47"/>
    <w:rsid w:val="005244F1"/>
    <w:rsid w:val="005245AD"/>
    <w:rsid w:val="00536F5F"/>
    <w:rsid w:val="00537CDC"/>
    <w:rsid w:val="005427E1"/>
    <w:rsid w:val="00552B6B"/>
    <w:rsid w:val="00552F43"/>
    <w:rsid w:val="005574B6"/>
    <w:rsid w:val="00560185"/>
    <w:rsid w:val="00560407"/>
    <w:rsid w:val="00562917"/>
    <w:rsid w:val="005638AC"/>
    <w:rsid w:val="00570CFC"/>
    <w:rsid w:val="00571B8C"/>
    <w:rsid w:val="00580DDF"/>
    <w:rsid w:val="005811B7"/>
    <w:rsid w:val="00586228"/>
    <w:rsid w:val="00587A98"/>
    <w:rsid w:val="005946D3"/>
    <w:rsid w:val="00597631"/>
    <w:rsid w:val="005A0564"/>
    <w:rsid w:val="005A13A3"/>
    <w:rsid w:val="005A1B59"/>
    <w:rsid w:val="005A22E8"/>
    <w:rsid w:val="005A340C"/>
    <w:rsid w:val="005A54DC"/>
    <w:rsid w:val="005A572E"/>
    <w:rsid w:val="005A638D"/>
    <w:rsid w:val="005B084E"/>
    <w:rsid w:val="005B19D0"/>
    <w:rsid w:val="005B60F0"/>
    <w:rsid w:val="005B6AF4"/>
    <w:rsid w:val="005B72B2"/>
    <w:rsid w:val="005C04CB"/>
    <w:rsid w:val="005C531F"/>
    <w:rsid w:val="005C6519"/>
    <w:rsid w:val="005D16AD"/>
    <w:rsid w:val="005D179A"/>
    <w:rsid w:val="005D2016"/>
    <w:rsid w:val="005D57C2"/>
    <w:rsid w:val="005D72E1"/>
    <w:rsid w:val="005E035A"/>
    <w:rsid w:val="005E06C0"/>
    <w:rsid w:val="005E2325"/>
    <w:rsid w:val="005E2E40"/>
    <w:rsid w:val="005E551E"/>
    <w:rsid w:val="005E58D3"/>
    <w:rsid w:val="005E68F1"/>
    <w:rsid w:val="005E6E16"/>
    <w:rsid w:val="005F400E"/>
    <w:rsid w:val="005F727D"/>
    <w:rsid w:val="005F7342"/>
    <w:rsid w:val="00600BCA"/>
    <w:rsid w:val="00601B9A"/>
    <w:rsid w:val="006025AE"/>
    <w:rsid w:val="006035AB"/>
    <w:rsid w:val="00610093"/>
    <w:rsid w:val="00610A3C"/>
    <w:rsid w:val="006138D7"/>
    <w:rsid w:val="00615E83"/>
    <w:rsid w:val="00616017"/>
    <w:rsid w:val="0062145F"/>
    <w:rsid w:val="006236C2"/>
    <w:rsid w:val="00624E64"/>
    <w:rsid w:val="006261D7"/>
    <w:rsid w:val="00627F48"/>
    <w:rsid w:val="00630640"/>
    <w:rsid w:val="0063086B"/>
    <w:rsid w:val="00632F89"/>
    <w:rsid w:val="0063455F"/>
    <w:rsid w:val="00635814"/>
    <w:rsid w:val="00635D91"/>
    <w:rsid w:val="006362D3"/>
    <w:rsid w:val="00640C50"/>
    <w:rsid w:val="00646BF4"/>
    <w:rsid w:val="00663FCF"/>
    <w:rsid w:val="006652A2"/>
    <w:rsid w:val="00670614"/>
    <w:rsid w:val="006736A3"/>
    <w:rsid w:val="0067374E"/>
    <w:rsid w:val="00675BDD"/>
    <w:rsid w:val="00677A7A"/>
    <w:rsid w:val="00683071"/>
    <w:rsid w:val="00683C30"/>
    <w:rsid w:val="00686F77"/>
    <w:rsid w:val="00692490"/>
    <w:rsid w:val="00692B4A"/>
    <w:rsid w:val="00692E85"/>
    <w:rsid w:val="00695B21"/>
    <w:rsid w:val="006969CC"/>
    <w:rsid w:val="00696A15"/>
    <w:rsid w:val="006A48A7"/>
    <w:rsid w:val="006A5CB8"/>
    <w:rsid w:val="006A5D40"/>
    <w:rsid w:val="006A7A52"/>
    <w:rsid w:val="006B02AD"/>
    <w:rsid w:val="006B1EC3"/>
    <w:rsid w:val="006B593E"/>
    <w:rsid w:val="006B63A2"/>
    <w:rsid w:val="006C08CD"/>
    <w:rsid w:val="006C116D"/>
    <w:rsid w:val="006C22A7"/>
    <w:rsid w:val="006C5CF5"/>
    <w:rsid w:val="006D33FF"/>
    <w:rsid w:val="006E10A1"/>
    <w:rsid w:val="006E670C"/>
    <w:rsid w:val="006E742B"/>
    <w:rsid w:val="006E7B79"/>
    <w:rsid w:val="006F2FF6"/>
    <w:rsid w:val="006F34FD"/>
    <w:rsid w:val="006F4A82"/>
    <w:rsid w:val="006F6371"/>
    <w:rsid w:val="00710C37"/>
    <w:rsid w:val="00724FA4"/>
    <w:rsid w:val="00730800"/>
    <w:rsid w:val="00732EED"/>
    <w:rsid w:val="00740F5F"/>
    <w:rsid w:val="00743123"/>
    <w:rsid w:val="007456A5"/>
    <w:rsid w:val="00747545"/>
    <w:rsid w:val="007515A0"/>
    <w:rsid w:val="007541F7"/>
    <w:rsid w:val="00755F02"/>
    <w:rsid w:val="007602AA"/>
    <w:rsid w:val="007652EF"/>
    <w:rsid w:val="00765DE1"/>
    <w:rsid w:val="00772BDC"/>
    <w:rsid w:val="00775A37"/>
    <w:rsid w:val="007764E6"/>
    <w:rsid w:val="00777437"/>
    <w:rsid w:val="007776B4"/>
    <w:rsid w:val="007803D6"/>
    <w:rsid w:val="00780792"/>
    <w:rsid w:val="0078309E"/>
    <w:rsid w:val="00795D86"/>
    <w:rsid w:val="00796463"/>
    <w:rsid w:val="00797514"/>
    <w:rsid w:val="007A44B4"/>
    <w:rsid w:val="007A53BF"/>
    <w:rsid w:val="007A7D3D"/>
    <w:rsid w:val="007B1623"/>
    <w:rsid w:val="007B208A"/>
    <w:rsid w:val="007B225D"/>
    <w:rsid w:val="007B37B3"/>
    <w:rsid w:val="007B56EE"/>
    <w:rsid w:val="007B5FA8"/>
    <w:rsid w:val="007B6EDC"/>
    <w:rsid w:val="007C1C64"/>
    <w:rsid w:val="007C22CB"/>
    <w:rsid w:val="007C23A2"/>
    <w:rsid w:val="007D0189"/>
    <w:rsid w:val="007D4678"/>
    <w:rsid w:val="007D62F3"/>
    <w:rsid w:val="007E24E0"/>
    <w:rsid w:val="007E48BC"/>
    <w:rsid w:val="007E79F7"/>
    <w:rsid w:val="007F2309"/>
    <w:rsid w:val="007F3630"/>
    <w:rsid w:val="007F7BF7"/>
    <w:rsid w:val="00803E00"/>
    <w:rsid w:val="00807559"/>
    <w:rsid w:val="00813464"/>
    <w:rsid w:val="00815A27"/>
    <w:rsid w:val="00817891"/>
    <w:rsid w:val="00820352"/>
    <w:rsid w:val="008206C5"/>
    <w:rsid w:val="00821F99"/>
    <w:rsid w:val="00822243"/>
    <w:rsid w:val="0082254D"/>
    <w:rsid w:val="0082335B"/>
    <w:rsid w:val="00825510"/>
    <w:rsid w:val="00831154"/>
    <w:rsid w:val="00834C4F"/>
    <w:rsid w:val="00842BCC"/>
    <w:rsid w:val="008450BC"/>
    <w:rsid w:val="008456EE"/>
    <w:rsid w:val="00847066"/>
    <w:rsid w:val="00847667"/>
    <w:rsid w:val="00847F47"/>
    <w:rsid w:val="00850B09"/>
    <w:rsid w:val="00852BC2"/>
    <w:rsid w:val="0085334B"/>
    <w:rsid w:val="008537BA"/>
    <w:rsid w:val="00854D9A"/>
    <w:rsid w:val="0085574E"/>
    <w:rsid w:val="00856566"/>
    <w:rsid w:val="00856712"/>
    <w:rsid w:val="00856A19"/>
    <w:rsid w:val="00860808"/>
    <w:rsid w:val="0086185B"/>
    <w:rsid w:val="00861C13"/>
    <w:rsid w:val="00862349"/>
    <w:rsid w:val="008631F9"/>
    <w:rsid w:val="00864995"/>
    <w:rsid w:val="008650F8"/>
    <w:rsid w:val="0086571E"/>
    <w:rsid w:val="00870214"/>
    <w:rsid w:val="00871116"/>
    <w:rsid w:val="008711F5"/>
    <w:rsid w:val="00880042"/>
    <w:rsid w:val="00885C51"/>
    <w:rsid w:val="00886E37"/>
    <w:rsid w:val="00887F5E"/>
    <w:rsid w:val="00891A95"/>
    <w:rsid w:val="00896B85"/>
    <w:rsid w:val="008A243D"/>
    <w:rsid w:val="008A2502"/>
    <w:rsid w:val="008B4275"/>
    <w:rsid w:val="008C1189"/>
    <w:rsid w:val="008C1886"/>
    <w:rsid w:val="008C1E8A"/>
    <w:rsid w:val="008C4E76"/>
    <w:rsid w:val="008C57ED"/>
    <w:rsid w:val="008D05CB"/>
    <w:rsid w:val="008D06A0"/>
    <w:rsid w:val="008D06C6"/>
    <w:rsid w:val="008D14D0"/>
    <w:rsid w:val="008D4989"/>
    <w:rsid w:val="008D5E9D"/>
    <w:rsid w:val="008E2EDE"/>
    <w:rsid w:val="008E5B4A"/>
    <w:rsid w:val="008E6250"/>
    <w:rsid w:val="008E79BC"/>
    <w:rsid w:val="008F2ECE"/>
    <w:rsid w:val="008F39FC"/>
    <w:rsid w:val="008F5B8E"/>
    <w:rsid w:val="008F723E"/>
    <w:rsid w:val="00903FAE"/>
    <w:rsid w:val="00910C42"/>
    <w:rsid w:val="00914411"/>
    <w:rsid w:val="0091704D"/>
    <w:rsid w:val="00917C6F"/>
    <w:rsid w:val="00920249"/>
    <w:rsid w:val="00921D5D"/>
    <w:rsid w:val="0092203C"/>
    <w:rsid w:val="00923A74"/>
    <w:rsid w:val="00930897"/>
    <w:rsid w:val="00932F14"/>
    <w:rsid w:val="0094247F"/>
    <w:rsid w:val="00942D60"/>
    <w:rsid w:val="0094358A"/>
    <w:rsid w:val="009441C4"/>
    <w:rsid w:val="00944F5D"/>
    <w:rsid w:val="009460FA"/>
    <w:rsid w:val="00947534"/>
    <w:rsid w:val="009478A1"/>
    <w:rsid w:val="0095611C"/>
    <w:rsid w:val="00961987"/>
    <w:rsid w:val="0096523B"/>
    <w:rsid w:val="00972D06"/>
    <w:rsid w:val="00981C9E"/>
    <w:rsid w:val="00991F31"/>
    <w:rsid w:val="0099323D"/>
    <w:rsid w:val="00994FE2"/>
    <w:rsid w:val="00995C41"/>
    <w:rsid w:val="0099623A"/>
    <w:rsid w:val="009968F4"/>
    <w:rsid w:val="009A2699"/>
    <w:rsid w:val="009A2DC9"/>
    <w:rsid w:val="009A391C"/>
    <w:rsid w:val="009A75BF"/>
    <w:rsid w:val="009D07E5"/>
    <w:rsid w:val="009D22A3"/>
    <w:rsid w:val="009D3A00"/>
    <w:rsid w:val="009D5F56"/>
    <w:rsid w:val="009E0A61"/>
    <w:rsid w:val="009E3010"/>
    <w:rsid w:val="009E3EC5"/>
    <w:rsid w:val="009E4373"/>
    <w:rsid w:val="009E46F5"/>
    <w:rsid w:val="009E581D"/>
    <w:rsid w:val="009E6197"/>
    <w:rsid w:val="009F4B67"/>
    <w:rsid w:val="009F7065"/>
    <w:rsid w:val="00A007B8"/>
    <w:rsid w:val="00A01476"/>
    <w:rsid w:val="00A02BE5"/>
    <w:rsid w:val="00A10DAD"/>
    <w:rsid w:val="00A2449C"/>
    <w:rsid w:val="00A318EB"/>
    <w:rsid w:val="00A33269"/>
    <w:rsid w:val="00A36712"/>
    <w:rsid w:val="00A44318"/>
    <w:rsid w:val="00A52310"/>
    <w:rsid w:val="00A551B9"/>
    <w:rsid w:val="00A56DC7"/>
    <w:rsid w:val="00A57004"/>
    <w:rsid w:val="00A66FDD"/>
    <w:rsid w:val="00A671E6"/>
    <w:rsid w:val="00A67A35"/>
    <w:rsid w:val="00A709E5"/>
    <w:rsid w:val="00A726FE"/>
    <w:rsid w:val="00A72788"/>
    <w:rsid w:val="00A74FD1"/>
    <w:rsid w:val="00A7582D"/>
    <w:rsid w:val="00A84A58"/>
    <w:rsid w:val="00A929A9"/>
    <w:rsid w:val="00A96594"/>
    <w:rsid w:val="00AA41BA"/>
    <w:rsid w:val="00AA6D0D"/>
    <w:rsid w:val="00AA6FA3"/>
    <w:rsid w:val="00AA7DC2"/>
    <w:rsid w:val="00AC428E"/>
    <w:rsid w:val="00AC44B4"/>
    <w:rsid w:val="00AC7D02"/>
    <w:rsid w:val="00AD31C1"/>
    <w:rsid w:val="00AD344F"/>
    <w:rsid w:val="00AE4FFD"/>
    <w:rsid w:val="00AE71B3"/>
    <w:rsid w:val="00AE7607"/>
    <w:rsid w:val="00AF24FA"/>
    <w:rsid w:val="00AF387F"/>
    <w:rsid w:val="00AF397D"/>
    <w:rsid w:val="00B0087F"/>
    <w:rsid w:val="00B00E7F"/>
    <w:rsid w:val="00B071F6"/>
    <w:rsid w:val="00B108AE"/>
    <w:rsid w:val="00B17112"/>
    <w:rsid w:val="00B20A56"/>
    <w:rsid w:val="00B21055"/>
    <w:rsid w:val="00B21DCC"/>
    <w:rsid w:val="00B222FA"/>
    <w:rsid w:val="00B25F37"/>
    <w:rsid w:val="00B309B2"/>
    <w:rsid w:val="00B31645"/>
    <w:rsid w:val="00B37158"/>
    <w:rsid w:val="00B425AA"/>
    <w:rsid w:val="00B42B8E"/>
    <w:rsid w:val="00B44422"/>
    <w:rsid w:val="00B46EA0"/>
    <w:rsid w:val="00B47770"/>
    <w:rsid w:val="00B53DCA"/>
    <w:rsid w:val="00B55714"/>
    <w:rsid w:val="00B55EB1"/>
    <w:rsid w:val="00B60F71"/>
    <w:rsid w:val="00B61F23"/>
    <w:rsid w:val="00B63BBA"/>
    <w:rsid w:val="00B65797"/>
    <w:rsid w:val="00B67636"/>
    <w:rsid w:val="00B70593"/>
    <w:rsid w:val="00B731D3"/>
    <w:rsid w:val="00B75B57"/>
    <w:rsid w:val="00B77C18"/>
    <w:rsid w:val="00B811B3"/>
    <w:rsid w:val="00B839A3"/>
    <w:rsid w:val="00B902BD"/>
    <w:rsid w:val="00B92501"/>
    <w:rsid w:val="00B93D04"/>
    <w:rsid w:val="00B93F19"/>
    <w:rsid w:val="00BA1009"/>
    <w:rsid w:val="00BA70D9"/>
    <w:rsid w:val="00BB0EC9"/>
    <w:rsid w:val="00BB39AD"/>
    <w:rsid w:val="00BB4159"/>
    <w:rsid w:val="00BD2129"/>
    <w:rsid w:val="00BD2A39"/>
    <w:rsid w:val="00BD2E80"/>
    <w:rsid w:val="00BD2FCE"/>
    <w:rsid w:val="00BD49FF"/>
    <w:rsid w:val="00BD4B64"/>
    <w:rsid w:val="00BD69E0"/>
    <w:rsid w:val="00BD77E1"/>
    <w:rsid w:val="00BD7DD8"/>
    <w:rsid w:val="00BE04F9"/>
    <w:rsid w:val="00BE11B8"/>
    <w:rsid w:val="00BE532D"/>
    <w:rsid w:val="00BF45A3"/>
    <w:rsid w:val="00BF482F"/>
    <w:rsid w:val="00BF7FF0"/>
    <w:rsid w:val="00C01337"/>
    <w:rsid w:val="00C11AEA"/>
    <w:rsid w:val="00C12502"/>
    <w:rsid w:val="00C26B3B"/>
    <w:rsid w:val="00C276DD"/>
    <w:rsid w:val="00C32559"/>
    <w:rsid w:val="00C3731B"/>
    <w:rsid w:val="00C402A1"/>
    <w:rsid w:val="00C40AA5"/>
    <w:rsid w:val="00C40CF0"/>
    <w:rsid w:val="00C42FB9"/>
    <w:rsid w:val="00C44FE9"/>
    <w:rsid w:val="00C45C47"/>
    <w:rsid w:val="00C46F70"/>
    <w:rsid w:val="00C4756F"/>
    <w:rsid w:val="00C476D0"/>
    <w:rsid w:val="00C50689"/>
    <w:rsid w:val="00C62143"/>
    <w:rsid w:val="00C6434A"/>
    <w:rsid w:val="00C64555"/>
    <w:rsid w:val="00C73D6F"/>
    <w:rsid w:val="00C74398"/>
    <w:rsid w:val="00C77D84"/>
    <w:rsid w:val="00C830B9"/>
    <w:rsid w:val="00C836E3"/>
    <w:rsid w:val="00C836FF"/>
    <w:rsid w:val="00C84F74"/>
    <w:rsid w:val="00C85453"/>
    <w:rsid w:val="00C854DC"/>
    <w:rsid w:val="00C86577"/>
    <w:rsid w:val="00C9040D"/>
    <w:rsid w:val="00C90935"/>
    <w:rsid w:val="00C91C02"/>
    <w:rsid w:val="00C92E07"/>
    <w:rsid w:val="00C96868"/>
    <w:rsid w:val="00CA0416"/>
    <w:rsid w:val="00CA5734"/>
    <w:rsid w:val="00CA5EBB"/>
    <w:rsid w:val="00CA6F79"/>
    <w:rsid w:val="00CA760A"/>
    <w:rsid w:val="00CB115C"/>
    <w:rsid w:val="00CB1945"/>
    <w:rsid w:val="00CB1E9A"/>
    <w:rsid w:val="00CB7FA9"/>
    <w:rsid w:val="00CC2F67"/>
    <w:rsid w:val="00CC3764"/>
    <w:rsid w:val="00CC3A35"/>
    <w:rsid w:val="00CC5468"/>
    <w:rsid w:val="00CC560B"/>
    <w:rsid w:val="00CC75E2"/>
    <w:rsid w:val="00CD46EB"/>
    <w:rsid w:val="00CD7EBF"/>
    <w:rsid w:val="00CE2C58"/>
    <w:rsid w:val="00CE338C"/>
    <w:rsid w:val="00CE462E"/>
    <w:rsid w:val="00CE59AA"/>
    <w:rsid w:val="00CF05AD"/>
    <w:rsid w:val="00CF0E86"/>
    <w:rsid w:val="00CF26D2"/>
    <w:rsid w:val="00CF2CE0"/>
    <w:rsid w:val="00CF32C6"/>
    <w:rsid w:val="00D00DFA"/>
    <w:rsid w:val="00D01634"/>
    <w:rsid w:val="00D03384"/>
    <w:rsid w:val="00D04345"/>
    <w:rsid w:val="00D056F1"/>
    <w:rsid w:val="00D058DE"/>
    <w:rsid w:val="00D05D80"/>
    <w:rsid w:val="00D06616"/>
    <w:rsid w:val="00D12EAF"/>
    <w:rsid w:val="00D144D7"/>
    <w:rsid w:val="00D1519A"/>
    <w:rsid w:val="00D15A08"/>
    <w:rsid w:val="00D21946"/>
    <w:rsid w:val="00D227EB"/>
    <w:rsid w:val="00D23427"/>
    <w:rsid w:val="00D23DB6"/>
    <w:rsid w:val="00D25373"/>
    <w:rsid w:val="00D268DE"/>
    <w:rsid w:val="00D26D67"/>
    <w:rsid w:val="00D36060"/>
    <w:rsid w:val="00D37AD0"/>
    <w:rsid w:val="00D42DB2"/>
    <w:rsid w:val="00D51698"/>
    <w:rsid w:val="00D51A95"/>
    <w:rsid w:val="00D57103"/>
    <w:rsid w:val="00D571BB"/>
    <w:rsid w:val="00D60568"/>
    <w:rsid w:val="00D709E1"/>
    <w:rsid w:val="00D70C7A"/>
    <w:rsid w:val="00D71374"/>
    <w:rsid w:val="00D72A29"/>
    <w:rsid w:val="00D75E59"/>
    <w:rsid w:val="00D7786B"/>
    <w:rsid w:val="00D834E5"/>
    <w:rsid w:val="00D83DB6"/>
    <w:rsid w:val="00D848F8"/>
    <w:rsid w:val="00D91BAB"/>
    <w:rsid w:val="00D92574"/>
    <w:rsid w:val="00D927CB"/>
    <w:rsid w:val="00D93749"/>
    <w:rsid w:val="00D939E9"/>
    <w:rsid w:val="00D93F29"/>
    <w:rsid w:val="00D96C9C"/>
    <w:rsid w:val="00DA10A8"/>
    <w:rsid w:val="00DA1B9D"/>
    <w:rsid w:val="00DA3F57"/>
    <w:rsid w:val="00DB123A"/>
    <w:rsid w:val="00DB1E08"/>
    <w:rsid w:val="00DB2973"/>
    <w:rsid w:val="00DB4462"/>
    <w:rsid w:val="00DB7148"/>
    <w:rsid w:val="00DC0FBA"/>
    <w:rsid w:val="00DC1B56"/>
    <w:rsid w:val="00DC20CC"/>
    <w:rsid w:val="00DC2129"/>
    <w:rsid w:val="00DC6570"/>
    <w:rsid w:val="00DD265C"/>
    <w:rsid w:val="00DD3703"/>
    <w:rsid w:val="00DD764F"/>
    <w:rsid w:val="00DE5528"/>
    <w:rsid w:val="00DF25C3"/>
    <w:rsid w:val="00DF3D75"/>
    <w:rsid w:val="00DF427D"/>
    <w:rsid w:val="00DF43B4"/>
    <w:rsid w:val="00DF4D66"/>
    <w:rsid w:val="00DF5CFF"/>
    <w:rsid w:val="00DF72BB"/>
    <w:rsid w:val="00E03660"/>
    <w:rsid w:val="00E04062"/>
    <w:rsid w:val="00E063C6"/>
    <w:rsid w:val="00E11E35"/>
    <w:rsid w:val="00E15120"/>
    <w:rsid w:val="00E169EC"/>
    <w:rsid w:val="00E17C21"/>
    <w:rsid w:val="00E2003B"/>
    <w:rsid w:val="00E20EFD"/>
    <w:rsid w:val="00E244DA"/>
    <w:rsid w:val="00E26887"/>
    <w:rsid w:val="00E279D8"/>
    <w:rsid w:val="00E30092"/>
    <w:rsid w:val="00E30195"/>
    <w:rsid w:val="00E319B1"/>
    <w:rsid w:val="00E327A6"/>
    <w:rsid w:val="00E3384D"/>
    <w:rsid w:val="00E35881"/>
    <w:rsid w:val="00E35A50"/>
    <w:rsid w:val="00E3684F"/>
    <w:rsid w:val="00E43777"/>
    <w:rsid w:val="00E43F15"/>
    <w:rsid w:val="00E45A37"/>
    <w:rsid w:val="00E475F8"/>
    <w:rsid w:val="00E47D3B"/>
    <w:rsid w:val="00E53C71"/>
    <w:rsid w:val="00E5492F"/>
    <w:rsid w:val="00E572B1"/>
    <w:rsid w:val="00E6369A"/>
    <w:rsid w:val="00E63E7E"/>
    <w:rsid w:val="00E66A6E"/>
    <w:rsid w:val="00E70A86"/>
    <w:rsid w:val="00E73E50"/>
    <w:rsid w:val="00E75156"/>
    <w:rsid w:val="00E75674"/>
    <w:rsid w:val="00E75806"/>
    <w:rsid w:val="00E75920"/>
    <w:rsid w:val="00E777EC"/>
    <w:rsid w:val="00E80FCD"/>
    <w:rsid w:val="00E92E6F"/>
    <w:rsid w:val="00EA2226"/>
    <w:rsid w:val="00EA7DB0"/>
    <w:rsid w:val="00EA7F2F"/>
    <w:rsid w:val="00EB0A50"/>
    <w:rsid w:val="00EB1F85"/>
    <w:rsid w:val="00EB576F"/>
    <w:rsid w:val="00EB6590"/>
    <w:rsid w:val="00EC00DE"/>
    <w:rsid w:val="00EC21DF"/>
    <w:rsid w:val="00EC30E1"/>
    <w:rsid w:val="00EC3436"/>
    <w:rsid w:val="00EC3B70"/>
    <w:rsid w:val="00EC3DDA"/>
    <w:rsid w:val="00EC66BB"/>
    <w:rsid w:val="00ED172A"/>
    <w:rsid w:val="00ED7B15"/>
    <w:rsid w:val="00EE01DC"/>
    <w:rsid w:val="00EE3069"/>
    <w:rsid w:val="00EE3921"/>
    <w:rsid w:val="00EE454A"/>
    <w:rsid w:val="00EE47A1"/>
    <w:rsid w:val="00EF2A12"/>
    <w:rsid w:val="00F018AE"/>
    <w:rsid w:val="00F02A7B"/>
    <w:rsid w:val="00F079FD"/>
    <w:rsid w:val="00F13FC6"/>
    <w:rsid w:val="00F1449B"/>
    <w:rsid w:val="00F14AB3"/>
    <w:rsid w:val="00F14BEC"/>
    <w:rsid w:val="00F2129D"/>
    <w:rsid w:val="00F224B7"/>
    <w:rsid w:val="00F225C5"/>
    <w:rsid w:val="00F24B42"/>
    <w:rsid w:val="00F2587A"/>
    <w:rsid w:val="00F30CB5"/>
    <w:rsid w:val="00F33470"/>
    <w:rsid w:val="00F34E02"/>
    <w:rsid w:val="00F35A7B"/>
    <w:rsid w:val="00F3715D"/>
    <w:rsid w:val="00F37A10"/>
    <w:rsid w:val="00F420C8"/>
    <w:rsid w:val="00F42A4C"/>
    <w:rsid w:val="00F46468"/>
    <w:rsid w:val="00F526BD"/>
    <w:rsid w:val="00F54FF1"/>
    <w:rsid w:val="00F579AB"/>
    <w:rsid w:val="00F634A1"/>
    <w:rsid w:val="00F66127"/>
    <w:rsid w:val="00F7555D"/>
    <w:rsid w:val="00F77B5D"/>
    <w:rsid w:val="00F82AD6"/>
    <w:rsid w:val="00F87AF1"/>
    <w:rsid w:val="00F91E76"/>
    <w:rsid w:val="00F93A7A"/>
    <w:rsid w:val="00F9606F"/>
    <w:rsid w:val="00F9657D"/>
    <w:rsid w:val="00FA3736"/>
    <w:rsid w:val="00FA6D4E"/>
    <w:rsid w:val="00FB425D"/>
    <w:rsid w:val="00FB69C6"/>
    <w:rsid w:val="00FB7512"/>
    <w:rsid w:val="00FD45B8"/>
    <w:rsid w:val="00FD7547"/>
    <w:rsid w:val="00FE287B"/>
    <w:rsid w:val="00FE6B50"/>
    <w:rsid w:val="00FF1B03"/>
    <w:rsid w:val="00FF1EE5"/>
    <w:rsid w:val="00FF3E26"/>
    <w:rsid w:val="00FF5179"/>
    <w:rsid w:val="00FF5F5C"/>
    <w:rsid w:val="00FF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74AE929C"/>
  <w15:docId w15:val="{9A8D3815-4391-4EE1-9338-34F37DA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2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ms-rteelement-p">
    <w:name w:val="ms-rteelement-p"/>
    <w:basedOn w:val="Normal"/>
    <w:rsid w:val="00D848F8"/>
    <w:pPr>
      <w:widowControl/>
      <w:spacing w:before="100" w:beforeAutospacing="1" w:after="100" w:afterAutospacing="1"/>
    </w:pPr>
    <w:rPr>
      <w:rFonts w:ascii="Times New Roman" w:hAnsi="Times New Roman"/>
      <w:color w:val="576170"/>
      <w:sz w:val="24"/>
      <w:lang w:eastAsia="en-GB" w:bidi="ar-SA"/>
    </w:rPr>
  </w:style>
  <w:style w:type="paragraph" w:styleId="ListParagraph">
    <w:name w:val="List Paragraph"/>
    <w:basedOn w:val="Normal"/>
    <w:uiPriority w:val="34"/>
    <w:rsid w:val="004B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2051854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84905308">
      <w:bodyDiv w:val="1"/>
      <w:marLeft w:val="0"/>
      <w:marRight w:val="0"/>
      <w:marTop w:val="0"/>
      <w:marBottom w:val="0"/>
      <w:divBdr>
        <w:top w:val="none" w:sz="0" w:space="0" w:color="auto"/>
        <w:left w:val="none" w:sz="0" w:space="0" w:color="auto"/>
        <w:bottom w:val="none" w:sz="0" w:space="0" w:color="auto"/>
        <w:right w:val="none" w:sz="0" w:space="0" w:color="auto"/>
      </w:divBdr>
      <w:divsChild>
        <w:div w:id="328481718">
          <w:marLeft w:val="0"/>
          <w:marRight w:val="0"/>
          <w:marTop w:val="0"/>
          <w:marBottom w:val="0"/>
          <w:divBdr>
            <w:top w:val="none" w:sz="0" w:space="0" w:color="auto"/>
            <w:left w:val="none" w:sz="0" w:space="0" w:color="auto"/>
            <w:bottom w:val="none" w:sz="0" w:space="0" w:color="auto"/>
            <w:right w:val="none" w:sz="0" w:space="0" w:color="auto"/>
          </w:divBdr>
          <w:divsChild>
            <w:div w:id="1181821909">
              <w:marLeft w:val="0"/>
              <w:marRight w:val="0"/>
              <w:marTop w:val="0"/>
              <w:marBottom w:val="0"/>
              <w:divBdr>
                <w:top w:val="none" w:sz="0" w:space="0" w:color="auto"/>
                <w:left w:val="none" w:sz="0" w:space="0" w:color="auto"/>
                <w:bottom w:val="none" w:sz="0" w:space="0" w:color="auto"/>
                <w:right w:val="none" w:sz="0" w:space="0" w:color="auto"/>
              </w:divBdr>
              <w:divsChild>
                <w:div w:id="169564915">
                  <w:marLeft w:val="0"/>
                  <w:marRight w:val="0"/>
                  <w:marTop w:val="0"/>
                  <w:marBottom w:val="0"/>
                  <w:divBdr>
                    <w:top w:val="none" w:sz="0" w:space="0" w:color="auto"/>
                    <w:left w:val="none" w:sz="0" w:space="0" w:color="auto"/>
                    <w:bottom w:val="none" w:sz="0" w:space="0" w:color="auto"/>
                    <w:right w:val="none" w:sz="0" w:space="0" w:color="auto"/>
                  </w:divBdr>
                  <w:divsChild>
                    <w:div w:id="175658527">
                      <w:marLeft w:val="0"/>
                      <w:marRight w:val="0"/>
                      <w:marTop w:val="0"/>
                      <w:marBottom w:val="0"/>
                      <w:divBdr>
                        <w:top w:val="none" w:sz="0" w:space="0" w:color="auto"/>
                        <w:left w:val="none" w:sz="0" w:space="0" w:color="auto"/>
                        <w:bottom w:val="none" w:sz="0" w:space="0" w:color="auto"/>
                        <w:right w:val="none" w:sz="0" w:space="0" w:color="auto"/>
                      </w:divBdr>
                      <w:divsChild>
                        <w:div w:id="1675649645">
                          <w:marLeft w:val="0"/>
                          <w:marRight w:val="0"/>
                          <w:marTop w:val="0"/>
                          <w:marBottom w:val="0"/>
                          <w:divBdr>
                            <w:top w:val="none" w:sz="0" w:space="0" w:color="auto"/>
                            <w:left w:val="none" w:sz="0" w:space="0" w:color="auto"/>
                            <w:bottom w:val="none" w:sz="0" w:space="0" w:color="auto"/>
                            <w:right w:val="none" w:sz="0" w:space="0" w:color="auto"/>
                          </w:divBdr>
                          <w:divsChild>
                            <w:div w:id="1689288235">
                              <w:marLeft w:val="0"/>
                              <w:marRight w:val="0"/>
                              <w:marTop w:val="0"/>
                              <w:marBottom w:val="0"/>
                              <w:divBdr>
                                <w:top w:val="none" w:sz="0" w:space="0" w:color="auto"/>
                                <w:left w:val="none" w:sz="0" w:space="0" w:color="auto"/>
                                <w:bottom w:val="none" w:sz="0" w:space="0" w:color="auto"/>
                                <w:right w:val="none" w:sz="0" w:space="0" w:color="auto"/>
                              </w:divBdr>
                              <w:divsChild>
                                <w:div w:id="9483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nsumer/generalissues/Pages/Protein-Glutaminase-(processing-aid).aspx" TargetMode="External"/><Relationship Id="rId26" Type="http://schemas.openxmlformats.org/officeDocument/2006/relationships/hyperlink" Target="http://onlinelibrary.wiley.com/doi/10.1046/j.1432-1327.2001.02019.x/full" TargetMode="External"/><Relationship Id="rId3" Type="http://schemas.openxmlformats.org/officeDocument/2006/relationships/customXml" Target="../customXml/item3.xml"/><Relationship Id="rId21" Type="http://schemas.openxmlformats.org/officeDocument/2006/relationships/hyperlink" Target="https://www.ncbi.nlm.nih.gov/pmc/articles/PMC320746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ncbi.nlm.nih.gov/pubmed/11231294"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usp.org/food-ingredients/food-chemicals-code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ubs.acs.org/doi/abs/10.1021/bi00783a019" TargetMode="External"/><Relationship Id="rId28" Type="http://schemas.openxmlformats.org/officeDocument/2006/relationships/fontTable" Target="fontTable.xml"/><Relationship Id="rId15" Type="http://schemas.openxmlformats.org/officeDocument/2006/relationships/hyperlink" Target="http://www.foodstandards.gov.au/code/applications/Pages/A1136.aspx" TargetMode="External"/><Relationship Id="rId23" Type="http://schemas.openxmlformats.org/officeDocument/2006/relationships/hyperlink" Target="http://www.fao.org/docrep/009/a0691e/A0691E03.htm" TargetMode="External"/><Relationship Id="rId10" Type="http://schemas.openxmlformats.org/officeDocument/2006/relationships/settings" Target="settings.xml"/><Relationship Id="rId19" Type="http://schemas.openxmlformats.org/officeDocument/2006/relationships/hyperlink" Target="http://foodregulation.gov.au/internet/fr/publishing.nsf/Content/food-policies"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sbcs.qmul.ac.uk/iubmb/enzyme/EC3/5/1/4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food-policies" TargetMode="External"/><Relationship Id="rId2" Type="http://schemas.openxmlformats.org/officeDocument/2006/relationships/hyperlink" Target="mailto:standards.management@foodstandards.gov.au" TargetMode="External"/><Relationship Id="rId1" Type="http://schemas.openxmlformats.org/officeDocument/2006/relationships/hyperlink" Target="http://www.foodstandards.gov.au/code/applications/Pages/A11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X3VAMR3A5FUY-552-6708</_dlc_DocId>
    <_dlc_DocIdUrl xmlns="ff5de93e-c5e8-4efc-a1bd-21450292fcfe">
      <Url>http://teams/Sections/RAP/_layouts/15/DocIdRedir.aspx?ID=X3VAMR3A5FUY-552-6708</Url>
      <Description>X3VAMR3A5FUY-552-6708</Description>
    </_dlc_DocIdUrl>
    <_dlc_DocIdPersistId xmlns="ff5de93e-c5e8-4efc-a1bd-21450292fcfe">true</_dlc_DocIdPersistId>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B006-D767-4298-A8CB-C7F3F5CBFD88}"/>
</file>

<file path=customXml/itemProps2.xml><?xml version="1.0" encoding="utf-8"?>
<ds:datastoreItem xmlns:ds="http://schemas.openxmlformats.org/officeDocument/2006/customXml" ds:itemID="{FE4154C1-D9BB-4A79-B196-A7EEA4F41D7F}"/>
</file>

<file path=customXml/itemProps3.xml><?xml version="1.0" encoding="utf-8"?>
<ds:datastoreItem xmlns:ds="http://schemas.openxmlformats.org/officeDocument/2006/customXml" ds:itemID="{D8594772-F53E-402B-A4F2-0530C398EC6C}"/>
</file>

<file path=customXml/itemProps4.xml><?xml version="1.0" encoding="utf-8"?>
<ds:datastoreItem xmlns:ds="http://schemas.openxmlformats.org/officeDocument/2006/customXml" ds:itemID="{1FE1B006-D767-4298-A8CB-C7F3F5CBFD88}">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ff5de93e-c5e8-4efc-a1bd-21450292fcfe"/>
    <ds:schemaRef ds:uri="ec50576e-4a27-4780-a1e1-e59563bc70b8"/>
  </ds:schemaRefs>
</ds:datastoreItem>
</file>

<file path=customXml/itemProps5.xml><?xml version="1.0" encoding="utf-8"?>
<ds:datastoreItem xmlns:ds="http://schemas.openxmlformats.org/officeDocument/2006/customXml" ds:itemID="{24C67E33-E8FC-43A4-B00B-C04D095AE3C3}">
  <ds:schemaRefs>
    <ds:schemaRef ds:uri="Microsoft.SharePoint.Taxonomy.ContentTypeSync"/>
  </ds:schemaRefs>
</ds:datastoreItem>
</file>

<file path=customXml/itemProps6.xml><?xml version="1.0" encoding="utf-8"?>
<ds:datastoreItem xmlns:ds="http://schemas.openxmlformats.org/officeDocument/2006/customXml" ds:itemID="{D1E06D0D-7235-4FAC-AA81-4ECB1B29577E}"/>
</file>

<file path=customXml/itemProps7.xml><?xml version="1.0" encoding="utf-8"?>
<ds:datastoreItem xmlns:ds="http://schemas.openxmlformats.org/officeDocument/2006/customXml" ds:itemID="{C4914E08-01F2-46C2-BB3F-4AE13C724B8A}"/>
</file>

<file path=docProps/app.xml><?xml version="1.0" encoding="utf-8"?>
<Properties xmlns="http://schemas.openxmlformats.org/officeDocument/2006/extended-properties" xmlns:vt="http://schemas.openxmlformats.org/officeDocument/2006/docPropsVTypes">
  <Template>Normal</Template>
  <TotalTime>10</TotalTime>
  <Pages>21</Pages>
  <Words>7179</Words>
  <Characters>42979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50058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lastModifiedBy>Christine Coughlan</cp:lastModifiedBy>
  <cp:revision>4</cp:revision>
  <cp:lastPrinted>2018-01-15T01:55:00Z</cp:lastPrinted>
  <dcterms:created xsi:type="dcterms:W3CDTF">2018-02-20T04:40:00Z</dcterms:created>
  <dcterms:modified xsi:type="dcterms:W3CDTF">2018-02-21T22:19:00Z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a8368753-bd0e-459d-a2b9-cb6294593b7b</vt:lpwstr>
  </property>
  <property fmtid="{D5CDD505-2E9C-101B-9397-08002B2CF9AE}" pid="7" name="SPPCopyMoveEvent">
    <vt:lpwstr>1</vt:lpwstr>
  </property>
  <property fmtid="{D5CDD505-2E9C-101B-9397-08002B2CF9AE}" pid="8" name="docIndexRef">
    <vt:lpwstr>77d3f6b8-181e-478e-815a-41ef15638b48</vt:lpwstr>
  </property>
  <property fmtid="{D5CDD505-2E9C-101B-9397-08002B2CF9AE}" pid="9" name="bjSaver">
    <vt:lpwstr>umnwp5TnAUT3lGCJj0/T6C//+i+BlQfK</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